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85"/>
        <w:jc w:val="center"/>
        <w:rPr>
          <w:rFonts w:ascii="仿宋" w:hAnsi="仿宋" w:eastAsia="仿宋"/>
          <w:b/>
          <w:sz w:val="72"/>
          <w:szCs w:val="72"/>
          <w:u w:val="single"/>
        </w:rPr>
      </w:pPr>
      <w:r>
        <w:rPr>
          <w:rFonts w:hint="eastAsia" w:ascii="仿宋" w:hAnsi="仿宋" w:eastAsia="仿宋"/>
          <w:b/>
          <w:sz w:val="72"/>
          <w:szCs w:val="72"/>
          <w:u w:val="single"/>
        </w:rPr>
        <w:t>自贡市精神卫生中心</w:t>
      </w:r>
    </w:p>
    <w:p>
      <w:pPr>
        <w:ind w:right="185"/>
        <w:jc w:val="center"/>
        <w:rPr>
          <w:rFonts w:ascii="仿宋" w:hAnsi="仿宋" w:eastAsia="仿宋"/>
          <w:b/>
          <w:sz w:val="72"/>
          <w:szCs w:val="72"/>
          <w:u w:val="single"/>
        </w:rPr>
      </w:pPr>
      <w:r>
        <w:rPr>
          <w:rFonts w:hint="eastAsia" w:ascii="仿宋" w:hAnsi="仿宋" w:eastAsia="仿宋"/>
          <w:b/>
          <w:sz w:val="72"/>
          <w:szCs w:val="72"/>
          <w:u w:val="single"/>
        </w:rPr>
        <w:t>一食堂燃气改造项目</w:t>
      </w:r>
    </w:p>
    <w:p>
      <w:pPr>
        <w:ind w:right="185"/>
        <w:rPr>
          <w:rFonts w:ascii="仿宋" w:hAnsi="仿宋" w:eastAsia="仿宋"/>
          <w:sz w:val="44"/>
        </w:rPr>
      </w:pPr>
    </w:p>
    <w:p>
      <w:pPr>
        <w:ind w:right="185"/>
        <w:jc w:val="center"/>
        <w:rPr>
          <w:rFonts w:ascii="仿宋" w:hAnsi="仿宋" w:eastAsia="仿宋"/>
          <w:b/>
          <w:bCs/>
          <w:sz w:val="84"/>
          <w:szCs w:val="84"/>
        </w:rPr>
      </w:pPr>
      <w:r>
        <w:rPr>
          <w:rFonts w:hint="eastAsia" w:ascii="仿宋" w:hAnsi="仿宋" w:eastAsia="仿宋"/>
          <w:b/>
          <w:bCs/>
          <w:sz w:val="84"/>
          <w:szCs w:val="84"/>
        </w:rPr>
        <w:t>技</w:t>
      </w:r>
    </w:p>
    <w:p>
      <w:pPr>
        <w:ind w:right="185"/>
        <w:jc w:val="center"/>
        <w:rPr>
          <w:rFonts w:ascii="仿宋" w:hAnsi="仿宋" w:eastAsia="仿宋"/>
          <w:b/>
          <w:bCs/>
          <w:sz w:val="84"/>
          <w:szCs w:val="84"/>
        </w:rPr>
      </w:pPr>
      <w:r>
        <w:rPr>
          <w:rFonts w:hint="eastAsia" w:ascii="仿宋" w:hAnsi="仿宋" w:eastAsia="仿宋"/>
          <w:b/>
          <w:bCs/>
          <w:sz w:val="84"/>
          <w:szCs w:val="84"/>
        </w:rPr>
        <w:t>术</w:t>
      </w:r>
    </w:p>
    <w:p>
      <w:pPr>
        <w:ind w:right="185"/>
        <w:jc w:val="center"/>
        <w:rPr>
          <w:rFonts w:ascii="仿宋" w:hAnsi="仿宋" w:eastAsia="仿宋"/>
          <w:b/>
          <w:bCs/>
          <w:sz w:val="84"/>
          <w:szCs w:val="84"/>
        </w:rPr>
      </w:pPr>
      <w:r>
        <w:rPr>
          <w:rFonts w:hint="eastAsia" w:ascii="仿宋" w:hAnsi="仿宋" w:eastAsia="仿宋"/>
          <w:b/>
          <w:bCs/>
          <w:sz w:val="84"/>
          <w:szCs w:val="84"/>
        </w:rPr>
        <w:t>方</w:t>
      </w:r>
    </w:p>
    <w:p>
      <w:pPr>
        <w:ind w:right="185"/>
        <w:jc w:val="center"/>
        <w:rPr>
          <w:rFonts w:ascii="仿宋" w:hAnsi="仿宋" w:eastAsia="仿宋"/>
          <w:b/>
          <w:bCs/>
          <w:sz w:val="84"/>
          <w:szCs w:val="84"/>
        </w:rPr>
      </w:pPr>
      <w:r>
        <w:rPr>
          <w:rFonts w:hint="eastAsia" w:ascii="仿宋" w:hAnsi="仿宋" w:eastAsia="仿宋"/>
          <w:b/>
          <w:bCs/>
          <w:sz w:val="84"/>
          <w:szCs w:val="84"/>
        </w:rPr>
        <w:t>案</w:t>
      </w:r>
    </w:p>
    <w:p>
      <w:pPr>
        <w:tabs>
          <w:tab w:val="left" w:pos="921"/>
        </w:tabs>
        <w:ind w:right="185"/>
        <w:jc w:val="center"/>
        <w:rPr>
          <w:rFonts w:ascii="仿宋" w:hAnsi="仿宋" w:eastAsia="仿宋"/>
          <w:sz w:val="72"/>
          <w:szCs w:val="72"/>
        </w:rPr>
      </w:pPr>
    </w:p>
    <w:p>
      <w:pPr>
        <w:tabs>
          <w:tab w:val="left" w:pos="921"/>
        </w:tabs>
        <w:ind w:right="185"/>
        <w:jc w:val="center"/>
        <w:rPr>
          <w:rFonts w:ascii="仿宋" w:hAnsi="仿宋" w:eastAsia="仿宋"/>
          <w:sz w:val="72"/>
          <w:szCs w:val="72"/>
        </w:rPr>
      </w:pPr>
    </w:p>
    <w:p>
      <w:pPr>
        <w:tabs>
          <w:tab w:val="left" w:pos="921"/>
        </w:tabs>
        <w:ind w:right="185"/>
        <w:jc w:val="both"/>
        <w:rPr>
          <w:rFonts w:hint="eastAsia" w:ascii="仿宋" w:hAnsi="仿宋" w:eastAsia="仿宋"/>
          <w:sz w:val="72"/>
          <w:szCs w:val="72"/>
        </w:rPr>
      </w:pPr>
    </w:p>
    <w:p>
      <w:pPr>
        <w:keepNext/>
        <w:keepLines/>
        <w:spacing w:line="360" w:lineRule="auto"/>
        <w:ind w:right="185"/>
        <w:jc w:val="center"/>
        <w:outlineLvl w:val="0"/>
        <w:rPr>
          <w:rFonts w:ascii="仿宋" w:hAnsi="仿宋" w:eastAsia="仿宋"/>
          <w:b/>
          <w:bCs/>
          <w:kern w:val="44"/>
          <w:sz w:val="30"/>
          <w:szCs w:val="30"/>
        </w:rPr>
      </w:pPr>
      <w:bookmarkStart w:id="0" w:name="_Toc19925"/>
      <w:r>
        <w:rPr>
          <w:rFonts w:hint="eastAsia" w:ascii="仿宋" w:hAnsi="仿宋" w:eastAsia="仿宋"/>
          <w:b/>
          <w:bCs/>
          <w:kern w:val="44"/>
          <w:sz w:val="30"/>
          <w:szCs w:val="30"/>
        </w:rPr>
        <w:t>一、工程概述</w:t>
      </w:r>
      <w:bookmarkEnd w:id="0"/>
    </w:p>
    <w:p>
      <w:pPr>
        <w:spacing w:line="480" w:lineRule="auto"/>
        <w:ind w:right="185" w:firstLine="240" w:firstLineChars="100"/>
        <w:outlineLvl w:val="1"/>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工程概况</w:t>
      </w:r>
    </w:p>
    <w:p>
      <w:pPr>
        <w:spacing w:line="480" w:lineRule="auto"/>
        <w:ind w:right="185" w:firstLine="240" w:firstLineChars="100"/>
        <w:rPr>
          <w:rFonts w:ascii="仿宋" w:hAnsi="仿宋" w:eastAsia="仿宋"/>
          <w:sz w:val="24"/>
        </w:rPr>
      </w:pPr>
      <w:r>
        <w:rPr>
          <w:rFonts w:hint="eastAsia" w:ascii="仿宋" w:hAnsi="仿宋" w:eastAsia="仿宋"/>
          <w:sz w:val="24"/>
        </w:rPr>
        <w:t>①项目名称：</w:t>
      </w:r>
      <w:r>
        <w:rPr>
          <w:rFonts w:hint="eastAsia" w:ascii="仿宋" w:hAnsi="仿宋" w:eastAsia="仿宋"/>
          <w:sz w:val="24"/>
          <w:u w:val="single"/>
        </w:rPr>
        <w:t>自贡市精神卫生中心一食堂燃气</w:t>
      </w:r>
      <w:r>
        <w:rPr>
          <w:rFonts w:hint="eastAsia" w:ascii="仿宋" w:hAnsi="仿宋" w:eastAsia="仿宋"/>
          <w:sz w:val="24"/>
        </w:rPr>
        <w:t>改造项目</w:t>
      </w:r>
    </w:p>
    <w:p>
      <w:pPr>
        <w:spacing w:line="480" w:lineRule="auto"/>
        <w:ind w:right="185" w:firstLine="240" w:firstLineChars="100"/>
        <w:rPr>
          <w:rFonts w:ascii="仿宋" w:hAnsi="仿宋" w:eastAsia="仿宋"/>
          <w:sz w:val="24"/>
        </w:rPr>
      </w:pPr>
      <w:r>
        <w:rPr>
          <w:rFonts w:hint="eastAsia" w:ascii="仿宋" w:hAnsi="仿宋" w:eastAsia="仿宋"/>
          <w:sz w:val="24"/>
        </w:rPr>
        <w:t>②项目地址：</w:t>
      </w:r>
      <w:r>
        <w:rPr>
          <w:rFonts w:hint="eastAsia" w:ascii="仿宋" w:hAnsi="仿宋" w:eastAsia="仿宋"/>
          <w:sz w:val="24"/>
          <w:u w:val="single"/>
        </w:rPr>
        <w:t>自贡市贡井区青杠林路138号</w:t>
      </w:r>
    </w:p>
    <w:p>
      <w:pPr>
        <w:spacing w:line="480" w:lineRule="auto"/>
        <w:ind w:right="185" w:firstLine="240" w:firstLineChars="100"/>
        <w:rPr>
          <w:rFonts w:ascii="仿宋" w:hAnsi="仿宋" w:eastAsia="仿宋"/>
          <w:sz w:val="24"/>
        </w:rPr>
      </w:pPr>
      <w:r>
        <w:rPr>
          <w:rFonts w:hint="eastAsia" w:ascii="仿宋" w:hAnsi="仿宋" w:eastAsia="仿宋"/>
          <w:sz w:val="24"/>
        </w:rPr>
        <w:t>③项目内容介绍：</w:t>
      </w:r>
    </w:p>
    <w:p>
      <w:pPr>
        <w:widowControl/>
        <w:spacing w:line="480" w:lineRule="auto"/>
        <w:ind w:right="185" w:firstLine="480" w:firstLineChars="200"/>
        <w:jc w:val="left"/>
        <w:rPr>
          <w:rFonts w:ascii="仿宋" w:hAnsi="仿宋" w:eastAsia="仿宋"/>
          <w:sz w:val="24"/>
          <w:u w:val="single"/>
        </w:rPr>
      </w:pPr>
      <w:r>
        <w:rPr>
          <w:rFonts w:hint="eastAsia" w:ascii="仿宋" w:hAnsi="仿宋" w:eastAsia="仿宋"/>
          <w:sz w:val="24"/>
          <w:u w:val="single"/>
        </w:rPr>
        <w:t>自贡市精神卫生中心一食堂因建修多年，原燃气调压后端（表后端）供气系统使用多年，原燃气表安装位置使用不便，原采用供气系统无法满足现燃气使用规范，同时相关材料及供气设备老化严重及相应安全措施严重不足的实际情况。为了更规范管理、更安全使用天然气。拟对现厨房灶具/燃气锅炉/取暖设备等中的供气系统进行改造（不含用气设备），该项目中包含新建/更换/检修调试燃气报警紧急切断系统、移天然气表等。</w:t>
      </w:r>
    </w:p>
    <w:p>
      <w:pPr>
        <w:spacing w:line="480" w:lineRule="auto"/>
        <w:ind w:right="185" w:firstLine="240" w:firstLineChars="100"/>
        <w:outlineLvl w:val="1"/>
        <w:rPr>
          <w:rFonts w:ascii="仿宋" w:hAnsi="仿宋" w:eastAsia="仿宋"/>
          <w:sz w:val="24"/>
        </w:rPr>
      </w:pPr>
      <w:r>
        <w:rPr>
          <w:rFonts w:hint="eastAsia" w:ascii="仿宋" w:hAnsi="仿宋" w:eastAsia="仿宋"/>
          <w:sz w:val="24"/>
        </w:rPr>
        <w:t>1.2改造范围</w:t>
      </w:r>
    </w:p>
    <w:p>
      <w:pPr>
        <w:spacing w:line="480" w:lineRule="auto"/>
        <w:ind w:right="185" w:firstLine="480" w:firstLineChars="200"/>
        <w:rPr>
          <w:rFonts w:ascii="仿宋" w:hAnsi="仿宋" w:eastAsia="仿宋"/>
          <w:sz w:val="24"/>
        </w:rPr>
      </w:pPr>
      <w:r>
        <w:rPr>
          <w:rFonts w:hint="eastAsia" w:ascii="仿宋" w:hAnsi="仿宋" w:eastAsia="仿宋"/>
          <w:sz w:val="24"/>
        </w:rPr>
        <w:t>食堂燃气供气系统：新增燃气报警系统（含报警器、感应探头、控制箱、紧急切断阀及数据线）和原老化供气管道进行更换（不锈钢管道、阀门、管件及不锈钢波纹管、紧固件等）。</w:t>
      </w:r>
    </w:p>
    <w:p>
      <w:pPr>
        <w:spacing w:line="480" w:lineRule="auto"/>
        <w:ind w:right="185" w:firstLine="480" w:firstLineChars="200"/>
        <w:rPr>
          <w:rFonts w:ascii="仿宋" w:hAnsi="仿宋" w:eastAsia="仿宋"/>
          <w:sz w:val="24"/>
        </w:rPr>
      </w:pPr>
      <w:r>
        <w:rPr>
          <w:rFonts w:hint="eastAsia" w:ascii="仿宋" w:hAnsi="仿宋" w:eastAsia="仿宋"/>
          <w:sz w:val="24"/>
        </w:rPr>
        <w:t>设计图纸：工艺流程图、平面布置图、设备基础图、管道布置图（如需设计院进行独立设计并盖章出图，该费用另行计算）</w:t>
      </w:r>
    </w:p>
    <w:p>
      <w:pPr>
        <w:spacing w:line="480" w:lineRule="auto"/>
        <w:ind w:right="185" w:firstLine="480" w:firstLineChars="200"/>
        <w:rPr>
          <w:rFonts w:ascii="仿宋" w:hAnsi="仿宋" w:eastAsia="仿宋"/>
          <w:sz w:val="24"/>
        </w:rPr>
      </w:pPr>
      <w:r>
        <w:rPr>
          <w:rFonts w:hint="eastAsia" w:ascii="仿宋" w:hAnsi="仿宋" w:eastAsia="仿宋"/>
          <w:sz w:val="24"/>
        </w:rPr>
        <w:t>常规项目不含站内外土建（基础及管沟）、防雷防静电、消防、电气、围栏、公路、绿化、步道等的建设或恢复。</w:t>
      </w:r>
    </w:p>
    <w:p>
      <w:pPr>
        <w:rPr>
          <w:rFonts w:ascii="仿宋" w:hAnsi="仿宋" w:eastAsia="仿宋"/>
          <w:sz w:val="24"/>
        </w:rPr>
      </w:pPr>
      <w:r>
        <w:rPr>
          <w:rFonts w:hint="eastAsia" w:ascii="仿宋" w:hAnsi="仿宋" w:eastAsia="仿宋"/>
          <w:sz w:val="24"/>
        </w:rPr>
        <w:t>其他未尽事宜双方友好协商后，签订合同附加条款。</w:t>
      </w:r>
    </w:p>
    <w:p>
      <w:pPr>
        <w:keepNext/>
        <w:keepLines/>
        <w:spacing w:line="360" w:lineRule="auto"/>
        <w:ind w:right="185"/>
        <w:jc w:val="center"/>
        <w:outlineLvl w:val="0"/>
        <w:rPr>
          <w:rFonts w:ascii="仿宋" w:hAnsi="仿宋" w:eastAsia="仿宋"/>
          <w:b/>
          <w:bCs/>
          <w:kern w:val="44"/>
          <w:sz w:val="28"/>
          <w:szCs w:val="28"/>
        </w:rPr>
      </w:pPr>
      <w:bookmarkStart w:id="1" w:name="_Toc17288"/>
      <w:r>
        <w:rPr>
          <w:rFonts w:hint="eastAsia" w:ascii="仿宋" w:hAnsi="仿宋" w:eastAsia="仿宋"/>
          <w:b/>
          <w:bCs/>
          <w:kern w:val="44"/>
          <w:sz w:val="28"/>
          <w:szCs w:val="28"/>
        </w:rPr>
        <w:t>二、设计理念</w:t>
      </w:r>
      <w:bookmarkEnd w:id="1"/>
    </w:p>
    <w:p>
      <w:pPr>
        <w:spacing w:line="480" w:lineRule="auto"/>
        <w:ind w:right="185" w:firstLine="360" w:firstLineChars="150"/>
        <w:rPr>
          <w:rFonts w:ascii="仿宋" w:hAnsi="仿宋" w:eastAsia="仿宋"/>
          <w:sz w:val="24"/>
        </w:rPr>
      </w:pPr>
      <w:r>
        <w:rPr>
          <w:rFonts w:hint="eastAsia" w:ascii="仿宋" w:hAnsi="仿宋" w:eastAsia="仿宋"/>
          <w:sz w:val="24"/>
        </w:rPr>
        <w:t>本项目严格执行国家现行的有关燃气规范规定，结合当地实际情况，在设计中采用成熟的，行之有效的先进技术、工艺流程、可靠设备和材料以满足供气要求， 满足燃气安全使用规范，有效规避燃气安全隐患。</w:t>
      </w:r>
    </w:p>
    <w:p>
      <w:pPr>
        <w:keepNext/>
        <w:keepLines/>
        <w:spacing w:line="360" w:lineRule="auto"/>
        <w:ind w:right="185"/>
        <w:jc w:val="center"/>
        <w:outlineLvl w:val="0"/>
        <w:rPr>
          <w:rFonts w:ascii="仿宋" w:hAnsi="仿宋" w:eastAsia="仿宋"/>
          <w:b/>
          <w:bCs/>
          <w:kern w:val="44"/>
          <w:sz w:val="28"/>
          <w:szCs w:val="28"/>
        </w:rPr>
      </w:pPr>
      <w:bookmarkStart w:id="2" w:name="_Toc11148"/>
      <w:r>
        <w:rPr>
          <w:rFonts w:hint="eastAsia" w:ascii="仿宋" w:hAnsi="仿宋" w:eastAsia="仿宋"/>
          <w:b/>
          <w:bCs/>
          <w:kern w:val="44"/>
          <w:sz w:val="28"/>
          <w:szCs w:val="28"/>
        </w:rPr>
        <w:t>三、技术依据</w:t>
      </w:r>
      <w:bookmarkEnd w:id="2"/>
    </w:p>
    <w:p>
      <w:pPr>
        <w:spacing w:line="480" w:lineRule="auto"/>
        <w:ind w:right="185" w:firstLine="240" w:firstLineChars="100"/>
        <w:rPr>
          <w:rFonts w:ascii="仿宋" w:hAnsi="仿宋" w:eastAsia="仿宋"/>
          <w:sz w:val="24"/>
        </w:rPr>
      </w:pPr>
      <w:r>
        <w:rPr>
          <w:rFonts w:hint="eastAsia" w:ascii="仿宋" w:hAnsi="仿宋" w:eastAsia="仿宋"/>
          <w:sz w:val="24"/>
        </w:rPr>
        <w:t>3.1本设计是根据使用单位现行建筑结构及用气设备的情况进行；</w:t>
      </w:r>
    </w:p>
    <w:p>
      <w:pPr>
        <w:spacing w:line="480" w:lineRule="auto"/>
        <w:ind w:right="185" w:firstLine="240" w:firstLineChars="100"/>
        <w:rPr>
          <w:rFonts w:ascii="仿宋" w:hAnsi="仿宋" w:eastAsia="仿宋"/>
          <w:sz w:val="24"/>
        </w:rPr>
      </w:pPr>
      <w:r>
        <w:rPr>
          <w:rFonts w:hint="eastAsia" w:ascii="仿宋" w:hAnsi="仿宋" w:eastAsia="仿宋"/>
          <w:sz w:val="24"/>
        </w:rPr>
        <w:t>3.2本设计遵循的有关燃气安全规范、规定及手册（均以最新版本执行）：</w:t>
      </w:r>
    </w:p>
    <w:p>
      <w:pPr>
        <w:spacing w:line="480" w:lineRule="auto"/>
        <w:ind w:right="185" w:firstLine="600" w:firstLineChars="250"/>
        <w:rPr>
          <w:rFonts w:ascii="仿宋" w:hAnsi="仿宋" w:eastAsia="仿宋"/>
          <w:sz w:val="24"/>
        </w:rPr>
      </w:pPr>
      <w:r>
        <w:rPr>
          <w:rFonts w:hint="eastAsia" w:ascii="仿宋" w:hAnsi="仿宋" w:eastAsia="仿宋"/>
          <w:sz w:val="24"/>
        </w:rPr>
        <w:t>《城镇燃气管道安装验收规范》</w:t>
      </w:r>
    </w:p>
    <w:p>
      <w:pPr>
        <w:spacing w:line="480" w:lineRule="auto"/>
        <w:ind w:right="185" w:firstLine="600" w:firstLineChars="250"/>
        <w:rPr>
          <w:rFonts w:ascii="仿宋" w:hAnsi="仿宋" w:eastAsia="仿宋"/>
          <w:sz w:val="24"/>
        </w:rPr>
      </w:pPr>
      <w:r>
        <w:rPr>
          <w:rFonts w:hint="eastAsia" w:ascii="仿宋" w:hAnsi="仿宋" w:eastAsia="仿宋"/>
          <w:sz w:val="24"/>
        </w:rPr>
        <w:t>《压力管道安全管理与监察规定》</w:t>
      </w:r>
    </w:p>
    <w:p>
      <w:pPr>
        <w:spacing w:line="480" w:lineRule="auto"/>
        <w:ind w:right="185" w:firstLine="600" w:firstLineChars="250"/>
        <w:rPr>
          <w:rFonts w:ascii="仿宋" w:hAnsi="仿宋" w:eastAsia="仿宋"/>
          <w:sz w:val="24"/>
        </w:rPr>
      </w:pPr>
      <w:r>
        <w:rPr>
          <w:rFonts w:hint="eastAsia" w:ascii="仿宋" w:hAnsi="仿宋" w:eastAsia="仿宋"/>
          <w:sz w:val="24"/>
        </w:rPr>
        <w:t>《城镇燃气设计规范》</w:t>
      </w:r>
      <w:r>
        <w:rPr>
          <w:rFonts w:ascii="仿宋" w:hAnsi="仿宋" w:eastAsia="仿宋"/>
          <w:sz w:val="24"/>
        </w:rPr>
        <w:t xml:space="preserve">                      </w:t>
      </w:r>
    </w:p>
    <w:p>
      <w:pPr>
        <w:spacing w:line="360" w:lineRule="auto"/>
        <w:ind w:firstLine="480" w:firstLineChars="200"/>
        <w:rPr>
          <w:rFonts w:ascii="仿宋" w:hAnsi="仿宋" w:eastAsia="仿宋"/>
          <w:sz w:val="24"/>
        </w:rPr>
      </w:pPr>
      <w:r>
        <w:rPr>
          <w:rFonts w:hint="eastAsia" w:ascii="仿宋" w:hAnsi="仿宋" w:eastAsia="仿宋"/>
          <w:sz w:val="24"/>
        </w:rPr>
        <w:t xml:space="preserve"> 《建筑设计防火规范》GB/50016</w:t>
      </w:r>
    </w:p>
    <w:p>
      <w:pPr>
        <w:spacing w:line="480" w:lineRule="auto"/>
        <w:ind w:right="185" w:firstLine="600" w:firstLineChars="250"/>
        <w:rPr>
          <w:rFonts w:ascii="仿宋" w:hAnsi="仿宋" w:eastAsia="仿宋"/>
          <w:sz w:val="24"/>
        </w:rPr>
      </w:pPr>
      <w:r>
        <w:rPr>
          <w:rFonts w:hint="eastAsia" w:ascii="仿宋" w:hAnsi="仿宋" w:eastAsia="仿宋"/>
          <w:sz w:val="24"/>
        </w:rPr>
        <w:t>《机械设备安装工程施工及验收规范》 GB/50231</w:t>
      </w:r>
    </w:p>
    <w:p>
      <w:pPr>
        <w:spacing w:line="480" w:lineRule="auto"/>
        <w:ind w:right="185" w:firstLine="600" w:firstLineChars="250"/>
        <w:rPr>
          <w:rFonts w:ascii="仿宋" w:hAnsi="仿宋" w:eastAsia="仿宋"/>
          <w:sz w:val="24"/>
        </w:rPr>
      </w:pPr>
      <w:r>
        <w:rPr>
          <w:rFonts w:hint="eastAsia" w:ascii="仿宋" w:hAnsi="仿宋" w:eastAsia="仿宋"/>
          <w:sz w:val="24"/>
        </w:rPr>
        <w:t>《现场设备、工业管道焊接工程施工规范》GB/50236</w:t>
      </w:r>
    </w:p>
    <w:p>
      <w:pPr>
        <w:rPr>
          <w:rFonts w:ascii="仿宋" w:hAnsi="仿宋" w:eastAsia="仿宋"/>
          <w:sz w:val="24"/>
        </w:rPr>
        <w:sectPr>
          <w:pgSz w:w="11906" w:h="16838"/>
          <w:pgMar w:top="1440" w:right="1080" w:bottom="1440" w:left="1080" w:header="454" w:footer="992" w:gutter="0"/>
          <w:cols w:space="720" w:num="1"/>
          <w:docGrid w:type="lines" w:linePitch="312" w:charSpace="0"/>
        </w:sectPr>
      </w:pPr>
      <w:r>
        <w:rPr>
          <w:rFonts w:ascii="仿宋" w:hAnsi="仿宋" w:eastAsia="仿宋"/>
          <w:sz w:val="24"/>
        </w:rPr>
        <w:t>其他未尽事宜按照国家标准或行业标准中的</w:t>
      </w:r>
      <w:r>
        <w:rPr>
          <w:rFonts w:hint="eastAsia" w:ascii="仿宋" w:hAnsi="仿宋" w:eastAsia="仿宋"/>
          <w:sz w:val="24"/>
        </w:rPr>
        <w:t>相对</w:t>
      </w:r>
      <w:r>
        <w:rPr>
          <w:rFonts w:ascii="仿宋" w:hAnsi="仿宋" w:eastAsia="仿宋"/>
          <w:sz w:val="24"/>
        </w:rPr>
        <w:t>高</w:t>
      </w:r>
      <w:bookmarkStart w:id="9" w:name="_GoBack"/>
      <w:bookmarkEnd w:id="9"/>
      <w:r>
        <w:rPr>
          <w:rFonts w:ascii="仿宋" w:hAnsi="仿宋" w:eastAsia="仿宋"/>
          <w:sz w:val="24"/>
        </w:rPr>
        <w:t>标准执行</w:t>
      </w:r>
      <w:r>
        <w:rPr>
          <w:rFonts w:hint="eastAsia" w:ascii="仿宋" w:hAnsi="仿宋" w:eastAsia="仿宋"/>
          <w:sz w:val="24"/>
        </w:rPr>
        <w:t>及实施。</w:t>
      </w:r>
    </w:p>
    <w:p>
      <w:pPr>
        <w:keepNext/>
        <w:keepLines/>
        <w:spacing w:line="360" w:lineRule="auto"/>
        <w:ind w:right="185"/>
        <w:jc w:val="center"/>
        <w:outlineLvl w:val="0"/>
        <w:rPr>
          <w:rFonts w:ascii="仿宋" w:hAnsi="仿宋" w:eastAsia="仿宋"/>
          <w:b/>
          <w:bCs/>
          <w:kern w:val="44"/>
          <w:sz w:val="28"/>
          <w:szCs w:val="28"/>
        </w:rPr>
      </w:pPr>
      <w:bookmarkStart w:id="3" w:name="_Toc18838"/>
      <w:r>
        <w:rPr>
          <w:rFonts w:hint="eastAsia" w:ascii="仿宋" w:hAnsi="仿宋" w:eastAsia="仿宋"/>
          <w:b/>
          <w:bCs/>
          <w:kern w:val="44"/>
          <w:sz w:val="28"/>
          <w:szCs w:val="28"/>
        </w:rPr>
        <w:t>四、设计说明</w:t>
      </w:r>
      <w:bookmarkEnd w:id="3"/>
    </w:p>
    <w:p>
      <w:pPr>
        <w:autoSpaceDE w:val="0"/>
        <w:autoSpaceDN w:val="0"/>
        <w:adjustRightInd w:val="0"/>
        <w:spacing w:line="600" w:lineRule="exact"/>
        <w:ind w:right="187"/>
        <w:jc w:val="left"/>
        <w:rPr>
          <w:rFonts w:ascii="仿宋" w:hAnsi="仿宋" w:eastAsia="仿宋"/>
          <w:b/>
          <w:sz w:val="24"/>
        </w:rPr>
      </w:pPr>
      <w:r>
        <w:rPr>
          <w:rFonts w:hint="eastAsia" w:ascii="仿宋" w:hAnsi="仿宋" w:eastAsia="仿宋"/>
          <w:b/>
          <w:sz w:val="24"/>
        </w:rPr>
        <w:t>4.1 主要设备及设计说明</w:t>
      </w:r>
    </w:p>
    <w:p>
      <w:pPr>
        <w:autoSpaceDE w:val="0"/>
        <w:autoSpaceDN w:val="0"/>
        <w:adjustRightInd w:val="0"/>
        <w:spacing w:line="600" w:lineRule="exact"/>
        <w:ind w:right="187"/>
        <w:jc w:val="left"/>
        <w:rPr>
          <w:rFonts w:ascii="仿宋" w:hAnsi="仿宋" w:eastAsia="仿宋"/>
          <w:b/>
          <w:sz w:val="24"/>
        </w:rPr>
      </w:pPr>
      <w:r>
        <w:rPr>
          <w:rFonts w:hint="eastAsia" w:ascii="仿宋" w:hAnsi="仿宋" w:eastAsia="仿宋"/>
          <w:b/>
          <w:sz w:val="24"/>
        </w:rPr>
        <w:t>4.1.1燃气报警紧急切断系统</w:t>
      </w:r>
    </w:p>
    <w:p>
      <w:pPr>
        <w:autoSpaceDE w:val="0"/>
        <w:autoSpaceDN w:val="0"/>
        <w:adjustRightInd w:val="0"/>
        <w:spacing w:line="600" w:lineRule="exact"/>
        <w:ind w:right="187" w:firstLine="720" w:firstLineChars="300"/>
        <w:jc w:val="left"/>
        <w:rPr>
          <w:rFonts w:ascii="仿宋" w:hAnsi="仿宋" w:eastAsia="仿宋"/>
          <w:sz w:val="24"/>
        </w:rPr>
      </w:pPr>
      <w:r>
        <w:rPr>
          <w:rFonts w:hint="eastAsia" w:ascii="仿宋" w:hAnsi="仿宋" w:eastAsia="仿宋"/>
          <w:sz w:val="24"/>
        </w:rPr>
        <w:t>燃气报警紧急切断系统具有高灵敏度、高稳定性体积小等特性。燃气报警器作用就是当用气环境中燃气气体泄露，燃气报警器检测到气体浓度达到报警器设置的临界值时，燃气报警器就会发出报警信号，同时自动切断阀工作，及时切断气源，防止燃气继续泄露。</w:t>
      </w:r>
    </w:p>
    <w:p>
      <w:pPr>
        <w:autoSpaceDE w:val="0"/>
        <w:autoSpaceDN w:val="0"/>
        <w:adjustRightInd w:val="0"/>
        <w:spacing w:line="600" w:lineRule="exact"/>
        <w:ind w:right="187"/>
        <w:jc w:val="left"/>
        <w:rPr>
          <w:rFonts w:ascii="仿宋" w:hAnsi="仿宋" w:eastAsia="仿宋"/>
          <w:b/>
          <w:sz w:val="24"/>
        </w:rPr>
      </w:pPr>
      <w:r>
        <w:rPr>
          <w:rFonts w:hint="eastAsia" w:ascii="仿宋" w:hAnsi="仿宋" w:eastAsia="仿宋"/>
          <w:b/>
          <w:sz w:val="24"/>
        </w:rPr>
        <w:t>4.1.2燃气管道系统</w:t>
      </w:r>
    </w:p>
    <w:p>
      <w:pPr>
        <w:keepNext w:val="0"/>
        <w:keepLines w:val="0"/>
        <w:pageBreakBefore w:val="0"/>
        <w:widowControl w:val="0"/>
        <w:kinsoku/>
        <w:wordWrap/>
        <w:overflowPunct/>
        <w:topLinePunct w:val="0"/>
        <w:autoSpaceDE w:val="0"/>
        <w:autoSpaceDN w:val="0"/>
        <w:bidi w:val="0"/>
        <w:adjustRightInd w:val="0"/>
        <w:snapToGrid/>
        <w:spacing w:line="360" w:lineRule="exact"/>
        <w:ind w:right="187" w:firstLine="720" w:firstLineChars="300"/>
        <w:jc w:val="left"/>
        <w:textAlignment w:val="auto"/>
        <w:rPr>
          <w:rFonts w:ascii="仿宋" w:hAnsi="仿宋" w:eastAsia="仿宋"/>
          <w:sz w:val="24"/>
        </w:rPr>
      </w:pPr>
      <w:r>
        <w:rPr>
          <w:rFonts w:hint="eastAsia" w:ascii="仿宋" w:hAnsi="仿宋" w:eastAsia="仿宋"/>
          <w:sz w:val="24"/>
        </w:rPr>
        <w:t>通过燃气调压箱/柜/表后总阀将燃气气体引向室内用气设备，并安全分配到每个燃气器具。</w:t>
      </w:r>
    </w:p>
    <w:p>
      <w:r>
        <w:drawing>
          <wp:inline distT="0" distB="0" distL="114300" distR="114300">
            <wp:extent cx="6285865" cy="4152900"/>
            <wp:effectExtent l="0" t="0" r="635"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4">
                      <a:lum/>
                    </a:blip>
                    <a:stretch>
                      <a:fillRect/>
                    </a:stretch>
                  </pic:blipFill>
                  <pic:spPr>
                    <a:xfrm>
                      <a:off x="0" y="0"/>
                      <a:ext cx="6285865" cy="4152900"/>
                    </a:xfrm>
                    <a:prstGeom prst="rect">
                      <a:avLst/>
                    </a:prstGeom>
                    <a:noFill/>
                    <a:ln w="9525">
                      <a:noFill/>
                    </a:ln>
                  </pic:spPr>
                </pic:pic>
              </a:graphicData>
            </a:graphic>
          </wp:inline>
        </w:drawing>
      </w:r>
    </w:p>
    <w:p/>
    <w:p/>
    <w:p/>
    <w:p/>
    <w:p/>
    <w:p/>
    <w:p>
      <w:pPr>
        <w:keepNext/>
        <w:keepLines/>
        <w:numPr>
          <w:ilvl w:val="0"/>
          <w:numId w:val="1"/>
        </w:numPr>
        <w:spacing w:line="360" w:lineRule="auto"/>
        <w:ind w:right="185"/>
        <w:jc w:val="center"/>
        <w:outlineLvl w:val="0"/>
        <w:rPr>
          <w:rFonts w:ascii="仿宋" w:hAnsi="仿宋" w:eastAsia="仿宋"/>
          <w:b/>
          <w:bCs/>
          <w:kern w:val="44"/>
          <w:sz w:val="28"/>
          <w:szCs w:val="28"/>
        </w:rPr>
      </w:pPr>
      <w:r>
        <w:rPr>
          <w:rFonts w:hint="eastAsia" w:ascii="仿宋" w:hAnsi="仿宋" w:eastAsia="仿宋"/>
          <w:b/>
          <w:bCs/>
          <w:kern w:val="44"/>
          <w:sz w:val="28"/>
          <w:szCs w:val="28"/>
        </w:rPr>
        <w:t>项目材料清单</w:t>
      </w:r>
    </w:p>
    <w:tbl>
      <w:tblPr>
        <w:tblStyle w:val="3"/>
        <w:tblW w:w="9565" w:type="dxa"/>
        <w:tblInd w:w="108" w:type="dxa"/>
        <w:tblLayout w:type="fixed"/>
        <w:tblCellMar>
          <w:top w:w="0" w:type="dxa"/>
          <w:left w:w="108" w:type="dxa"/>
          <w:bottom w:w="0" w:type="dxa"/>
          <w:right w:w="108" w:type="dxa"/>
        </w:tblCellMar>
      </w:tblPr>
      <w:tblGrid>
        <w:gridCol w:w="830"/>
        <w:gridCol w:w="2335"/>
        <w:gridCol w:w="1700"/>
        <w:gridCol w:w="866"/>
        <w:gridCol w:w="1184"/>
        <w:gridCol w:w="2650"/>
      </w:tblGrid>
      <w:tr>
        <w:tblPrEx>
          <w:tblLayout w:type="fixed"/>
          <w:tblCellMar>
            <w:top w:w="0" w:type="dxa"/>
            <w:left w:w="108" w:type="dxa"/>
            <w:bottom w:w="0" w:type="dxa"/>
            <w:right w:w="108" w:type="dxa"/>
          </w:tblCellMar>
        </w:tblPrEx>
        <w:trPr>
          <w:trHeight w:val="750" w:hRule="atLeast"/>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23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材料名称</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规格</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数量</w:t>
            </w:r>
          </w:p>
        </w:tc>
        <w:tc>
          <w:tcPr>
            <w:tcW w:w="11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单位</w:t>
            </w:r>
          </w:p>
        </w:tc>
        <w:tc>
          <w:tcPr>
            <w:tcW w:w="265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备注：本项目要求施工单位</w:t>
            </w:r>
            <w:r>
              <w:rPr>
                <w:rFonts w:hint="eastAsia" w:ascii="仿宋" w:hAnsi="仿宋" w:eastAsia="仿宋" w:cs="宋体"/>
                <w:b/>
                <w:bCs/>
                <w:color w:val="auto"/>
                <w:kern w:val="0"/>
                <w:sz w:val="28"/>
                <w:szCs w:val="28"/>
                <w:lang w:eastAsia="zh-CN"/>
              </w:rPr>
              <w:t>合同签订后</w:t>
            </w:r>
            <w:r>
              <w:rPr>
                <w:rFonts w:hint="eastAsia" w:ascii="仿宋" w:hAnsi="仿宋" w:eastAsia="仿宋" w:cs="宋体"/>
                <w:b/>
                <w:bCs/>
                <w:kern w:val="0"/>
                <w:sz w:val="28"/>
                <w:szCs w:val="28"/>
              </w:rPr>
              <w:t>五个工作日内完成施工，并通过燃气公司验收合格。</w:t>
            </w:r>
          </w:p>
        </w:tc>
      </w:tr>
      <w:tr>
        <w:tblPrEx>
          <w:tblLayout w:type="fixed"/>
          <w:tblCellMar>
            <w:top w:w="0" w:type="dxa"/>
            <w:left w:w="108" w:type="dxa"/>
            <w:bottom w:w="0" w:type="dxa"/>
            <w:right w:w="108" w:type="dxa"/>
          </w:tblCellMar>
        </w:tblPrEx>
        <w:trPr>
          <w:trHeight w:val="57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燃气报警器</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CS615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控制箱</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NT618</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7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电动切断阀</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7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不锈钢钢管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7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3PE防腐管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7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不锈钢法兰球阀</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4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不锈钢丝接球阀</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4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不锈钢波纹连接管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4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不锈钢单丝头</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DN15</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4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不锈钢弯头</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7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不锈钢三通</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7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不锈钢法兰</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4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灶具熄火保护装置</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支架</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4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15</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探测信号线</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RVV4*1.00㎡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25</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米</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4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切断阀信号线</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RVV2*1.00㎡</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15</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米</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54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17</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PVC穿线管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DN16</w:t>
            </w:r>
          </w:p>
        </w:tc>
        <w:tc>
          <w:tcPr>
            <w:tcW w:w="8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30</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米</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r>
        <w:tblPrEx>
          <w:tblLayout w:type="fixed"/>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18</w:t>
            </w:r>
          </w:p>
        </w:tc>
        <w:tc>
          <w:tcPr>
            <w:tcW w:w="233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其他辅材</w:t>
            </w:r>
          </w:p>
        </w:tc>
        <w:tc>
          <w:tcPr>
            <w:tcW w:w="170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86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1</w:t>
            </w:r>
          </w:p>
        </w:tc>
        <w:tc>
          <w:tcPr>
            <w:tcW w:w="118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项</w:t>
            </w:r>
          </w:p>
        </w:tc>
        <w:tc>
          <w:tcPr>
            <w:tcW w:w="2650"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8"/>
                <w:szCs w:val="28"/>
              </w:rPr>
            </w:pPr>
          </w:p>
        </w:tc>
      </w:tr>
    </w:tbl>
    <w:p>
      <w:pPr>
        <w:spacing w:line="336" w:lineRule="auto"/>
        <w:jc w:val="center"/>
        <w:outlineLvl w:val="0"/>
        <w:rPr>
          <w:rFonts w:ascii="仿宋" w:hAnsi="仿宋" w:eastAsia="仿宋"/>
          <w:b/>
          <w:bCs/>
          <w:kern w:val="44"/>
          <w:sz w:val="28"/>
          <w:szCs w:val="28"/>
        </w:rPr>
      </w:pPr>
      <w:r>
        <w:rPr>
          <w:rFonts w:hint="eastAsia" w:ascii="仿宋" w:hAnsi="仿宋" w:eastAsia="仿宋"/>
          <w:b/>
          <w:bCs/>
          <w:kern w:val="44"/>
          <w:sz w:val="28"/>
          <w:szCs w:val="28"/>
        </w:rPr>
        <w:t>六、施工及相关说明</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.1测量混凝土基础标高</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firstLine="480" w:firstLineChars="200"/>
        <w:jc w:val="left"/>
        <w:textAlignment w:val="auto"/>
        <w:rPr>
          <w:rFonts w:ascii="仿宋" w:hAnsi="仿宋" w:eastAsia="仿宋"/>
          <w:sz w:val="24"/>
        </w:rPr>
      </w:pPr>
      <w:r>
        <w:rPr>
          <w:rFonts w:hint="eastAsia" w:ascii="仿宋" w:hAnsi="仿宋" w:eastAsia="仿宋"/>
          <w:sz w:val="24"/>
        </w:rPr>
        <w:t>以管线最高处的混凝土基础作为测量基准点，再依次测出每个混凝土基础的相对标高，记录下后与设计标高（即坡度）比较，得出每个混凝土基础的实际标高（即偏差）。</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.2 管道支架制作安装</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①根据测量混凝土基础的数据，对管道支座支承表面的标高进行调整（至符合设计标高）。调整方法是在其上部加设金属垫板，金属垫板不得超过两层，垫板应与预埋铁件或钢结构进行焊接，不得添加于滑托和支架之间，也不得加于滑托和管子之间。</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②管道支座滑托的型式、材质、外形尺寸、制作精度及焊接质量应符合设计要求和97R412《室外热力管道支座》要求。</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③已预制完成并经检验合格的滑托应按设计规定进行防腐处理，并妥善保管。</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④管道安装前，应完成管道支座的安装，支座的位置应正确、平整、牢固、坡度应符合设计规定。管道安装时应及时进行支、吊架的固定和调整工作，支、吊架位置要正确，安装要平整、牢固，管子接触面无松动。</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⑤导向支座的导向接合面应洁净、平整，接触良好，不得有歪斜和卡涩现象。</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⑥固定支架应严格按设计图纸施工。</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⑦管道安装前，不宜使用临时性的支吊架，必须使用时，应作出明显的不安全标记，其位置应避开正式支架的位置，且不得影响正式支架安装，管道安装完毕后，应拆除临时支吊架。</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⑧固定支架和滑动支架安装的允许偏差应符合下表规定：</w:t>
      </w:r>
    </w:p>
    <w:tbl>
      <w:tblPr>
        <w:tblStyle w:val="3"/>
        <w:tblpPr w:leftFromText="180" w:rightFromText="180" w:vertAnchor="text" w:horzAnchor="page" w:tblpX="1835" w:tblpY="12"/>
        <w:tblOverlap w:val="never"/>
        <w:tblW w:w="785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1296"/>
        <w:gridCol w:w="1236"/>
        <w:gridCol w:w="2286"/>
        <w:gridCol w:w="12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08" w:hRule="atLeast"/>
        </w:trPr>
        <w:tc>
          <w:tcPr>
            <w:tcW w:w="1800"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-11430</wp:posOffset>
                      </wp:positionV>
                      <wp:extent cx="1075690" cy="984250"/>
                      <wp:effectExtent l="3175" t="3810" r="6985" b="21590"/>
                      <wp:wrapNone/>
                      <wp:docPr id="2" name="__TH_G12五号79"/>
                      <wp:cNvGraphicFramePr/>
                      <a:graphic xmlns:a="http://schemas.openxmlformats.org/drawingml/2006/main">
                        <a:graphicData uri="http://schemas.microsoft.com/office/word/2010/wordprocessingGroup">
                          <wpg:wgp>
                            <wpg:cNvGrpSpPr/>
                            <wpg:grpSpPr>
                              <a:xfrm>
                                <a:off x="0" y="0"/>
                                <a:ext cx="1075690" cy="984250"/>
                                <a:chOff x="1694" y="2698"/>
                                <a:chExt cx="1694" cy="1550"/>
                              </a:xfrm>
                            </wpg:grpSpPr>
                            <wps:wsp>
                              <wps:cNvPr id="3" name="__TH_L70"/>
                              <wps:cNvCnPr/>
                              <wps:spPr>
                                <a:xfrm>
                                  <a:off x="1694" y="2698"/>
                                  <a:ext cx="1694" cy="1550"/>
                                </a:xfrm>
                                <a:prstGeom prst="line">
                                  <a:avLst/>
                                </a:prstGeom>
                                <a:ln w="6350" cap="flat" cmpd="sng">
                                  <a:solidFill>
                                    <a:srgbClr val="000000"/>
                                  </a:solidFill>
                                  <a:prstDash val="solid"/>
                                  <a:round/>
                                  <a:headEnd type="none" w="med" len="med"/>
                                  <a:tailEnd type="none" w="med" len="med"/>
                                </a:ln>
                              </wps:spPr>
                              <wps:bodyPr/>
                            </wps:wsp>
                            <wps:wsp>
                              <wps:cNvPr id="4" name="__TH_B1171"/>
                              <wps:cNvSpPr/>
                              <wps:spPr>
                                <a:xfrm>
                                  <a:off x="2345" y="2775"/>
                                  <a:ext cx="253" cy="263"/>
                                </a:xfrm>
                                <a:prstGeom prst="rect">
                                  <a:avLst/>
                                </a:prstGeom>
                                <a:noFill/>
                                <a:ln w="9525">
                                  <a:noFill/>
                                </a:ln>
                              </wps:spPr>
                              <wps:txbx>
                                <w:txbxContent>
                                  <w:p>
                                    <w:pPr>
                                      <w:snapToGrid w:val="0"/>
                                    </w:pPr>
                                    <w:r>
                                      <w:rPr>
                                        <w:rFonts w:hint="eastAsia"/>
                                      </w:rPr>
                                      <w:t>检</w:t>
                                    </w:r>
                                  </w:p>
                                </w:txbxContent>
                              </wps:txbx>
                              <wps:bodyPr lIns="0" tIns="0" rIns="0" bIns="0" upright="1"/>
                            </wps:wsp>
                            <wps:wsp>
                              <wps:cNvPr id="5" name="__TH_B1272"/>
                              <wps:cNvSpPr/>
                              <wps:spPr>
                                <a:xfrm>
                                  <a:off x="2571" y="2982"/>
                                  <a:ext cx="252" cy="262"/>
                                </a:xfrm>
                                <a:prstGeom prst="rect">
                                  <a:avLst/>
                                </a:prstGeom>
                                <a:noFill/>
                                <a:ln w="9525">
                                  <a:noFill/>
                                </a:ln>
                              </wps:spPr>
                              <wps:txbx>
                                <w:txbxContent>
                                  <w:p>
                                    <w:pPr>
                                      <w:snapToGrid w:val="0"/>
                                    </w:pPr>
                                    <w:r>
                                      <w:rPr>
                                        <w:rFonts w:hint="eastAsia"/>
                                      </w:rPr>
                                      <w:t>查</w:t>
                                    </w:r>
                                  </w:p>
                                </w:txbxContent>
                              </wps:txbx>
                              <wps:bodyPr lIns="0" tIns="0" rIns="0" bIns="0" upright="1"/>
                            </wps:wsp>
                            <wps:wsp>
                              <wps:cNvPr id="6" name="__TH_B1373"/>
                              <wps:cNvSpPr/>
                              <wps:spPr>
                                <a:xfrm>
                                  <a:off x="2797" y="3188"/>
                                  <a:ext cx="252" cy="263"/>
                                </a:xfrm>
                                <a:prstGeom prst="rect">
                                  <a:avLst/>
                                </a:prstGeom>
                                <a:noFill/>
                                <a:ln w="9525">
                                  <a:noFill/>
                                </a:ln>
                              </wps:spPr>
                              <wps:txbx>
                                <w:txbxContent>
                                  <w:p>
                                    <w:pPr>
                                      <w:snapToGrid w:val="0"/>
                                    </w:pPr>
                                    <w:r>
                                      <w:rPr>
                                        <w:rFonts w:hint="eastAsia"/>
                                      </w:rPr>
                                      <w:t>项</w:t>
                                    </w:r>
                                  </w:p>
                                </w:txbxContent>
                              </wps:txbx>
                              <wps:bodyPr lIns="0" tIns="0" rIns="0" bIns="0" upright="1"/>
                            </wps:wsp>
                            <wps:wsp>
                              <wps:cNvPr id="7" name="__TH_B1474"/>
                              <wps:cNvSpPr/>
                              <wps:spPr>
                                <a:xfrm>
                                  <a:off x="3023" y="3395"/>
                                  <a:ext cx="252" cy="262"/>
                                </a:xfrm>
                                <a:prstGeom prst="rect">
                                  <a:avLst/>
                                </a:prstGeom>
                                <a:noFill/>
                                <a:ln w="9525">
                                  <a:noFill/>
                                </a:ln>
                              </wps:spPr>
                              <wps:txbx>
                                <w:txbxContent>
                                  <w:p>
                                    <w:pPr>
                                      <w:snapToGrid w:val="0"/>
                                    </w:pPr>
                                    <w:r>
                                      <w:rPr>
                                        <w:rFonts w:hint="eastAsia"/>
                                      </w:rPr>
                                      <w:t>目</w:t>
                                    </w:r>
                                  </w:p>
                                </w:txbxContent>
                              </wps:txbx>
                              <wps:bodyPr lIns="0" tIns="0" rIns="0" bIns="0" upright="1"/>
                            </wps:wsp>
                            <wps:wsp>
                              <wps:cNvPr id="8" name="__TH_B2175"/>
                              <wps:cNvSpPr/>
                              <wps:spPr>
                                <a:xfrm>
                                  <a:off x="1816" y="3262"/>
                                  <a:ext cx="252" cy="263"/>
                                </a:xfrm>
                                <a:prstGeom prst="rect">
                                  <a:avLst/>
                                </a:prstGeom>
                                <a:noFill/>
                                <a:ln w="9525">
                                  <a:noFill/>
                                </a:ln>
                              </wps:spPr>
                              <wps:txbx>
                                <w:txbxContent>
                                  <w:p>
                                    <w:pPr>
                                      <w:snapToGrid w:val="0"/>
                                    </w:pPr>
                                    <w:r>
                                      <w:rPr>
                                        <w:rFonts w:hint="eastAsia"/>
                                      </w:rPr>
                                      <w:t>允</w:t>
                                    </w:r>
                                  </w:p>
                                </w:txbxContent>
                              </wps:txbx>
                              <wps:bodyPr lIns="0" tIns="0" rIns="0" bIns="0" upright="1"/>
                            </wps:wsp>
                            <wps:wsp>
                              <wps:cNvPr id="9" name="__TH_B2276"/>
                              <wps:cNvSpPr/>
                              <wps:spPr>
                                <a:xfrm>
                                  <a:off x="2050" y="3476"/>
                                  <a:ext cx="252" cy="263"/>
                                </a:xfrm>
                                <a:prstGeom prst="rect">
                                  <a:avLst/>
                                </a:prstGeom>
                                <a:noFill/>
                                <a:ln w="9525">
                                  <a:noFill/>
                                </a:ln>
                              </wps:spPr>
                              <wps:txbx>
                                <w:txbxContent>
                                  <w:p>
                                    <w:pPr>
                                      <w:snapToGrid w:val="0"/>
                                    </w:pPr>
                                    <w:r>
                                      <w:rPr>
                                        <w:rFonts w:hint="eastAsia"/>
                                      </w:rPr>
                                      <w:t>许</w:t>
                                    </w:r>
                                  </w:p>
                                </w:txbxContent>
                              </wps:txbx>
                              <wps:bodyPr lIns="0" tIns="0" rIns="0" bIns="0" upright="1"/>
                            </wps:wsp>
                            <wps:wsp>
                              <wps:cNvPr id="10" name="__TH_B2377"/>
                              <wps:cNvSpPr/>
                              <wps:spPr>
                                <a:xfrm>
                                  <a:off x="2284" y="3691"/>
                                  <a:ext cx="252" cy="262"/>
                                </a:xfrm>
                                <a:prstGeom prst="rect">
                                  <a:avLst/>
                                </a:prstGeom>
                                <a:noFill/>
                                <a:ln w="9525">
                                  <a:noFill/>
                                </a:ln>
                              </wps:spPr>
                              <wps:txbx>
                                <w:txbxContent>
                                  <w:p>
                                    <w:pPr>
                                      <w:snapToGrid w:val="0"/>
                                    </w:pPr>
                                    <w:r>
                                      <w:rPr>
                                        <w:rFonts w:hint="eastAsia"/>
                                      </w:rPr>
                                      <w:t>偏</w:t>
                                    </w:r>
                                  </w:p>
                                </w:txbxContent>
                              </wps:txbx>
                              <wps:bodyPr lIns="0" tIns="0" rIns="0" bIns="0" upright="1"/>
                            </wps:wsp>
                            <wps:wsp>
                              <wps:cNvPr id="13" name="__TH_B2478"/>
                              <wps:cNvSpPr/>
                              <wps:spPr>
                                <a:xfrm>
                                  <a:off x="2518" y="3905"/>
                                  <a:ext cx="252" cy="262"/>
                                </a:xfrm>
                                <a:prstGeom prst="rect">
                                  <a:avLst/>
                                </a:prstGeom>
                                <a:noFill/>
                                <a:ln w="9525">
                                  <a:noFill/>
                                </a:ln>
                              </wps:spPr>
                              <wps:txbx>
                                <w:txbxContent>
                                  <w:p>
                                    <w:pPr>
                                      <w:snapToGrid w:val="0"/>
                                    </w:pPr>
                                    <w:r>
                                      <w:rPr>
                                        <w:rFonts w:hint="eastAsia"/>
                                      </w:rPr>
                                      <w:t>差</w:t>
                                    </w:r>
                                  </w:p>
                                </w:txbxContent>
                              </wps:txbx>
                              <wps:bodyPr lIns="0" tIns="0" rIns="0" bIns="0" upright="1"/>
                            </wps:wsp>
                          </wpg:wgp>
                        </a:graphicData>
                      </a:graphic>
                    </wp:anchor>
                  </w:drawing>
                </mc:Choice>
                <mc:Fallback>
                  <w:pict>
                    <v:group id="__TH_G12五号79" o:spid="_x0000_s1026" o:spt="203" style="position:absolute;left:0pt;margin-left:0pt;margin-top:-0.9pt;height:77.5pt;width:84.7pt;z-index:251660288;mso-width-relative:page;mso-height-relative:page;" coordorigin="1694,2698" coordsize="1694,1550" o:gfxdata="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C3Dq9i&#10;1wAAAAcBAAAPAAAAAAAAAAEAIAAAACIAAABkcnMvZG93bnJldi54bWxQSwECFAAUAAAACACHTuJA&#10;uIjDEHgDAABTEQAADgAAAAAAAAABACAAAAAmAQAAZHJzL2Uyb0RvYy54bWxQSwUGAAAAAAYABgBZ&#10;AQAAEAcAAAAA&#10;">
                      <o:lock v:ext="edit" aspectratio="f"/>
                      <v:line id="__TH_L70" o:spid="_x0000_s1026" o:spt="20" style="position:absolute;left:1694;top:2698;height:1550;width:1694;"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rect id="__TH_B1171" o:spid="_x0000_s1026" o:spt="1" style="position:absolute;left:2345;top:2775;height:263;width:253;"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检</w:t>
                              </w:r>
                            </w:p>
                          </w:txbxContent>
                        </v:textbox>
                      </v:rect>
                      <v:rect id="__TH_B1272" o:spid="_x0000_s1026" o:spt="1" style="position:absolute;left:2571;top:2982;height:262;width:252;" filled="f" stroked="f" coordsize="21600,21600" o:gfxdata="UEsDBAoAAAAAAIdO4kAAAAAAAAAAAAAAAAAEAAAAZHJzL1BLAwQUAAAACACHTuJAYFBckb0AAADa&#10;AAAADwAAAGRycy9kb3ducmV2LnhtbEWPT4vCMBTE78J+h/AWvGmqs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UFyR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查</w:t>
                              </w:r>
                            </w:p>
                          </w:txbxContent>
                        </v:textbox>
                      </v:rect>
                      <v:rect id="__TH_B1373" o:spid="_x0000_s1026" o:spt="1" style="position:absolute;left:2797;top:3188;height:263;width:252;"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项</w:t>
                              </w:r>
                            </w:p>
                          </w:txbxContent>
                        </v:textbox>
                      </v:rect>
                      <v:rect id="__TH_B1474" o:spid="_x0000_s1026" o:spt="1" style="position:absolute;left:3023;top:3395;height:262;width:252;" filled="f" stroked="f" coordsize="21600,21600" o:gfxdata="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d9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目</w:t>
                              </w:r>
                            </w:p>
                          </w:txbxContent>
                        </v:textbox>
                      </v:rect>
                      <v:rect id="__TH_B2175" o:spid="_x0000_s1026" o:spt="1" style="position:absolute;left:1816;top:3262;height:263;width:252;" filled="f" stroked="f" coordsize="21600,21600" o:gfxdata="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5R8w+2AAAA2gAAAA8A&#10;AAAAAAAAAQAgAAAAIgAAAGRycy9kb3ducmV2LnhtbFBLAQIUABQAAAAIAIdO4kAzLwWeOwAAADkA&#10;AAAQAAAAAAAAAAEAIAAAAAUBAABkcnMvc2hhcGV4bWwueG1sUEsFBgAAAAAGAAYAWwEAAK8DAAAA&#10;AA==&#10;">
                        <v:fill on="f" focussize="0,0"/>
                        <v:stroke on="f"/>
                        <v:imagedata o:title=""/>
                        <o:lock v:ext="edit" aspectratio="f"/>
                        <v:textbox inset="0mm,0mm,0mm,0mm">
                          <w:txbxContent>
                            <w:p>
                              <w:pPr>
                                <w:snapToGrid w:val="0"/>
                              </w:pPr>
                              <w:r>
                                <w:rPr>
                                  <w:rFonts w:hint="eastAsia"/>
                                </w:rPr>
                                <w:t>允</w:t>
                              </w:r>
                            </w:p>
                          </w:txbxContent>
                        </v:textbox>
                      </v:rect>
                      <v:rect id="__TH_B2276" o:spid="_x0000_s1026" o:spt="1" style="position:absolute;left:2050;top:3476;height:263;width:252;" filled="f" stroked="f" coordsize="21600,21600" o:gfxdata="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HVaU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许</w:t>
                              </w:r>
                            </w:p>
                          </w:txbxContent>
                        </v:textbox>
                      </v:rect>
                      <v:rect id="__TH_B2377" o:spid="_x0000_s1026" o:spt="1" style="position:absolute;left:2284;top:3691;height:262;width:252;" filled="f" stroked="f" coordsize="21600,21600" o:gfxdata="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c+h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偏</w:t>
                              </w:r>
                            </w:p>
                          </w:txbxContent>
                        </v:textbox>
                      </v:rect>
                      <v:rect id="__TH_B2478" o:spid="_x0000_s1026" o:spt="1" style="position:absolute;left:2518;top:3905;height:262;width:252;" filled="f" stroked="f" coordsize="21600,21600" o:gfxdata="UEsDBAoAAAAAAIdO4kAAAAAAAAAAAAAAAAAEAAAAZHJzL1BLAwQUAAAACACHTuJA3R0/eLsAAADb&#10;AAAADwAAAGRycy9kb3ducmV2LnhtbEVPS4vCMBC+C/sfwix401QX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0/e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差</w:t>
                              </w:r>
                            </w:p>
                          </w:txbxContent>
                        </v:textbox>
                      </v:rect>
                    </v:group>
                  </w:pict>
                </mc:Fallback>
              </mc:AlternateConten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tc>
        <w:tc>
          <w:tcPr>
            <w:tcW w:w="1296"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支架中心点</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平面座标</w:t>
            </w:r>
          </w:p>
        </w:tc>
        <w:tc>
          <w:tcPr>
            <w:tcW w:w="1236"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支架标高</w:t>
            </w:r>
          </w:p>
        </w:tc>
        <w:tc>
          <w:tcPr>
            <w:tcW w:w="3526" w:type="dxa"/>
            <w:gridSpan w:val="2"/>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两个固定支架间的其它支架中心线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76" w:hRule="atLeast"/>
        </w:trPr>
        <w:tc>
          <w:tcPr>
            <w:tcW w:w="180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tc>
        <w:tc>
          <w:tcPr>
            <w:tcW w:w="1296"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tc>
        <w:tc>
          <w:tcPr>
            <w:tcW w:w="1236"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tc>
        <w:tc>
          <w:tcPr>
            <w:tcW w:w="2286"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距固定支架每10m处</w:t>
            </w:r>
          </w:p>
        </w:tc>
        <w:tc>
          <w:tcPr>
            <w:tcW w:w="1240"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中心处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6" w:hRule="atLeast"/>
        </w:trPr>
        <w:tc>
          <w:tcPr>
            <w:tcW w:w="1800"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偏差值（mm）</w:t>
            </w:r>
          </w:p>
        </w:tc>
        <w:tc>
          <w:tcPr>
            <w:tcW w:w="1296"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25</w:t>
            </w:r>
          </w:p>
        </w:tc>
        <w:tc>
          <w:tcPr>
            <w:tcW w:w="1236"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-10</w:t>
            </w:r>
          </w:p>
        </w:tc>
        <w:tc>
          <w:tcPr>
            <w:tcW w:w="2286"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5</w:t>
            </w:r>
          </w:p>
        </w:tc>
        <w:tc>
          <w:tcPr>
            <w:tcW w:w="1240"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25</w:t>
            </w:r>
          </w:p>
        </w:tc>
      </w:tr>
    </w:tbl>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 管道加工和预制管件制作</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①钢管的材质和壁厚应符合国家现行技术标准，必须具有生产厂家的质量证明书，同时应按GB50235《工业金属管道工程施工及验收规范》中相应规定对管道组成管件检验。</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②管子切割采用氧乙炔焰切割，管子切口端面平整，无裂纹，重皮，毛刺、凹凸、缩口、熔渣、氧化物等，切口端面允许倾斜偏差不能大于管子外径的1%，且不得超过3mm。</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③在管道上直接开三通时，切口的线位应当用校核过的样板画定。</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.5管道安装</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1）准备工作</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①检验并矫正管材平直度，整修管口并加工好坡口。坡口加工采用氧乙炔焰热加工方法，之后除出坡口表面的氧化皮、熔渣及影响接头质量的表面层，并将凹凸不平处打磨平整。</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②清理管表面，管道外表面铁锈用手提砂轮机装上磨光片打磨然后用扫帚清扫干净。</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③根据现场实际情况预制管段，预制完毕后的管段应及时封闭管口。</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2）吊装就位：</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在定准管道中心线和复查测量管道支架标高后，将管组或单管平稳地起吊就位，放在架空支架上的管道，应具备一定的固定设施。</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3）管道安装：</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①架空管道的管组长度应按空中焊接的需要来确定，以等于或大于2倍支架间距为宜。</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②用管组或单根管子逐根的固定安装管道时，每个管组或每根管子都应按管道中心线和管道坡度对好管口。</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③管道安装工作有间断时应及时封闭敞开的管口。</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④设计要求：管道弯曲半径为1.5倍管道公称直径，按0.002的坡度敷设，坡度方向与介质方向相同。</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⑤设计要求：各加强焊制三通处用φ16圆钢加强。</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⑥支架各部件（除标明不能施焊以外），应牢固焊接，焊缝高度等于相焊件之薄件厚度。</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⑦设计要求：气体管路最低点设放水管。</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4）管道对口：</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①管道对口时，应检查管道平直度，在距接口中心200mm处测量，当管道公称直径小于100mm时，允许偏差为1mm，当管道公称直径大于或等于100mm时，允许偏差为2mm，但在所对接管子的全长范围内，最大偏差应不超过10mm。</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②管子对口处应用用对管器夹紧或垫置牢固，避免在焊接过程中产生错位和变形。</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③管道焊口距支架的距离应保证焊接操作的需要，并不得小于50mm。</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5）管道安装允许偏差：应不超过下表规定。</w:t>
      </w:r>
    </w:p>
    <w:tbl>
      <w:tblPr>
        <w:tblStyle w:val="3"/>
        <w:tblpPr w:leftFromText="180" w:rightFromText="180" w:vertAnchor="text" w:horzAnchor="margin" w:tblpXSpec="center" w:tblpY="78"/>
        <w:tblW w:w="7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701"/>
        <w:gridCol w:w="1276"/>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trPr>
        <w:tc>
          <w:tcPr>
            <w:tcW w:w="4928"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项目</w:t>
            </w:r>
          </w:p>
        </w:tc>
        <w:tc>
          <w:tcPr>
            <w:tcW w:w="293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允许偏差(mm)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trPr>
        <w:tc>
          <w:tcPr>
            <w:tcW w:w="1951"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座标</w:t>
            </w:r>
          </w:p>
        </w:tc>
        <w:tc>
          <w:tcPr>
            <w:tcW w:w="1701"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架空及地沟</w:t>
            </w:r>
          </w:p>
        </w:tc>
        <w:tc>
          <w:tcPr>
            <w:tcW w:w="127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室外</w:t>
            </w:r>
          </w:p>
        </w:tc>
        <w:tc>
          <w:tcPr>
            <w:tcW w:w="293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 w:hRule="atLeast"/>
        </w:trPr>
        <w:tc>
          <w:tcPr>
            <w:tcW w:w="1951"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tc>
        <w:tc>
          <w:tcPr>
            <w:tcW w:w="1701"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室内</w:t>
            </w:r>
          </w:p>
        </w:tc>
        <w:tc>
          <w:tcPr>
            <w:tcW w:w="293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 w:hRule="atLeast"/>
        </w:trPr>
        <w:tc>
          <w:tcPr>
            <w:tcW w:w="1951"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标高</w:t>
            </w:r>
          </w:p>
        </w:tc>
        <w:tc>
          <w:tcPr>
            <w:tcW w:w="1701"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架空及地沟</w:t>
            </w:r>
          </w:p>
        </w:tc>
        <w:tc>
          <w:tcPr>
            <w:tcW w:w="127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室外</w:t>
            </w:r>
          </w:p>
        </w:tc>
        <w:tc>
          <w:tcPr>
            <w:tcW w:w="293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1951"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tc>
        <w:tc>
          <w:tcPr>
            <w:tcW w:w="1701"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室内</w:t>
            </w:r>
          </w:p>
        </w:tc>
        <w:tc>
          <w:tcPr>
            <w:tcW w:w="293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95" w:hRule="atLeast"/>
        </w:trPr>
        <w:tc>
          <w:tcPr>
            <w:tcW w:w="1951"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tc>
        <w:tc>
          <w:tcPr>
            <w:tcW w:w="2977"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DN＞100</w:t>
            </w:r>
          </w:p>
        </w:tc>
        <w:tc>
          <w:tcPr>
            <w:tcW w:w="2935"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3L‰，最大80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trPr>
        <w:tc>
          <w:tcPr>
            <w:tcW w:w="19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立管铅垂度</w:t>
            </w:r>
          </w:p>
        </w:tc>
        <w:tc>
          <w:tcPr>
            <w:tcW w:w="2977"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tc>
        <w:tc>
          <w:tcPr>
            <w:tcW w:w="293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5L‰，最大30</w:t>
            </w:r>
          </w:p>
        </w:tc>
      </w:tr>
    </w:tbl>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hint="eastAsia"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hint="eastAsia"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hint="eastAsia"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注：L—管道有效长度；DN—管道公称直径。</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.6 管道焊接</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1）管道坡口</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hint="eastAsia" w:ascii="仿宋" w:hAnsi="仿宋" w:eastAsia="仿宋"/>
          <w:sz w:val="24"/>
        </w:rPr>
      </w:pPr>
      <w:r>
        <w:rPr>
          <w:rFonts w:ascii="仿宋" w:hAnsi="仿宋" w:eastAsia="仿宋"/>
          <w:sz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61595</wp:posOffset>
            </wp:positionV>
            <wp:extent cx="5640705" cy="21793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5">
                      <a:lum/>
                    </a:blip>
                    <a:srcRect l="4825" t="20430" r="4825" b="27922"/>
                    <a:stretch>
                      <a:fillRect/>
                    </a:stretch>
                  </pic:blipFill>
                  <pic:spPr>
                    <a:xfrm>
                      <a:off x="0" y="0"/>
                      <a:ext cx="5640705" cy="2179320"/>
                    </a:xfrm>
                    <a:prstGeom prst="rect">
                      <a:avLst/>
                    </a:prstGeom>
                    <a:noFill/>
                    <a:ln w="9525">
                      <a:noFill/>
                    </a:ln>
                  </pic:spPr>
                </pic:pic>
              </a:graphicData>
            </a:graphic>
          </wp:anchor>
        </w:drawing>
      </w:r>
      <w:r>
        <w:rPr>
          <w:rFonts w:hint="eastAsia" w:ascii="仿宋" w:hAnsi="仿宋" w:eastAsia="仿宋"/>
          <w:sz w:val="24"/>
        </w:rPr>
        <w:t>管道、管件坡口形式和尺寸应符合设计文件规定，如设计无规定，可按下图加工。</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hint="eastAsia"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当管道壁厚T≤9mm时:  a：65-75℃，P：0-2mm，C：0-2mm</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firstLine="840" w:firstLineChars="350"/>
        <w:jc w:val="left"/>
        <w:textAlignment w:val="auto"/>
        <w:rPr>
          <w:rFonts w:ascii="仿宋" w:hAnsi="仿宋" w:eastAsia="仿宋"/>
          <w:sz w:val="24"/>
        </w:rPr>
      </w:pPr>
      <w:r>
        <w:rPr>
          <w:rFonts w:hint="eastAsia" w:ascii="仿宋" w:hAnsi="仿宋" w:eastAsia="仿宋"/>
          <w:sz w:val="24"/>
        </w:rPr>
        <w:t>当管道壁厚T＞9mm时:  a：55-65℃，P：0-3mm，C：0-3mm</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2）管道组对</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①管子及管件对口前,必须检查坡口的外形尺寸和坡口质量。组对前必须清除坡口及其内外两侧不小于10mm范围内的油、漆、锈、毛刺等污物。</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②管子或管件对口要做到内壁平齐,内壁错边量不宜超过壁厚的10%，且不能大于2mm。</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③不得用螺栓强力拉紧和夹焊金属填充物等方法对接管口。</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④焊件组对时要垫置牢固,并采取措施防止焊接变形,焊件组对严禁强行组对。</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3）焊接工艺</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①焊工持证上岗。</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②焊接方法：氩电联焊。</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exact"/>
        <w:ind w:right="185" w:firstLineChars="0"/>
        <w:jc w:val="left"/>
        <w:textAlignment w:val="auto"/>
        <w:rPr>
          <w:rFonts w:ascii="仿宋" w:hAnsi="仿宋" w:eastAsia="仿宋"/>
          <w:sz w:val="24"/>
        </w:rPr>
      </w:pPr>
      <w:r>
        <w:rPr>
          <w:rFonts w:hint="eastAsia" w:ascii="仿宋" w:hAnsi="仿宋" w:eastAsia="仿宋"/>
          <w:sz w:val="24"/>
        </w:rPr>
        <w:t>焊接设备：交直流焊机。</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exact"/>
        <w:ind w:right="185" w:firstLineChars="0"/>
        <w:jc w:val="left"/>
        <w:textAlignment w:val="auto"/>
        <w:rPr>
          <w:rFonts w:ascii="仿宋" w:hAnsi="仿宋" w:eastAsia="仿宋"/>
          <w:sz w:val="24"/>
        </w:rPr>
      </w:pPr>
      <w:r>
        <w:rPr>
          <w:rFonts w:hint="eastAsia" w:ascii="仿宋" w:hAnsi="仿宋" w:eastAsia="仿宋"/>
          <w:sz w:val="24"/>
        </w:rPr>
        <w:t>焊接材料：焊丝型号TI</w:t>
      </w:r>
      <w:r>
        <w:rPr>
          <w:rFonts w:ascii="仿宋" w:hAnsi="仿宋" w:eastAsia="仿宋"/>
          <w:sz w:val="24"/>
        </w:rPr>
        <w:t>G</w:t>
      </w:r>
      <w:r>
        <w:rPr>
          <w:rFonts w:hint="eastAsia" w:ascii="仿宋" w:hAnsi="仿宋" w:eastAsia="仿宋"/>
          <w:sz w:val="24"/>
        </w:rPr>
        <w:t>-</w:t>
      </w:r>
      <w:r>
        <w:rPr>
          <w:rFonts w:ascii="仿宋" w:hAnsi="仿宋" w:eastAsia="仿宋"/>
          <w:sz w:val="24"/>
        </w:rPr>
        <w:t>ER308 2.0</w:t>
      </w:r>
      <w:r>
        <w:rPr>
          <w:rFonts w:hint="eastAsia" w:ascii="仿宋" w:hAnsi="仿宋" w:eastAsia="仿宋"/>
          <w:sz w:val="24"/>
        </w:rPr>
        <w:t>、焊条E4303 J422。</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⑤定位焊缝焊接</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a、定位焊缝的焊接采用与根部焊道相同的焊接材料和工艺，并应由合格焊工施焊。</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b、定位焊缝的长度、厚度和间距要保证焊缝正式施焊过程中不开裂。</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c、根部焊道施焊前对定位焊缝进行检查，如发现有缺陷要及时处理。</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⑥严禁在坡口之外的母材表面引弧和试验电流，同时要防止擦伤母材。施焊过程中要保证起弧和收弧质量，收弧时注意填满弧坑。多层焊的层间接头要错开。</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⑦多层焊每层施焊完毕后要立即对层间进行清理并进行外观检查，如发现缺陷应消除后方可进行下一层焊接。</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⑧施焊环境温度低于0℃时要将施焊处100mm范围内预热到150℃以上。</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.7 焊缝质量检验</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1）表面质量检验</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①焊缝焊接完毕立即去除焊渣、飞溅、清理干净焊缝表面，然后进行焊缝表面质量检查。</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②焊缝表面不能有裂纹、气孔、夹渣、熔合性飞溅物等缺陷。</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③焊缝与母材表面圆滑过渡，焊缝高度不能低于母材表面并与母材表面齐平为宜。</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④焊缝咬边深度要小于0.5mm，连续长度不能超过100mm，总长度不能超过焊缝全长的10%。</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.8 阀门安装</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①阀门安装前，应按设计核对型号，阀门外观检查应无缺陷，开闭灵活，阀内干净无杂物，并按介质流向确定其安装方向,液相双阀之间必须配有放散阀。</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②阀门的手柄应置于方便操作的地方，水平安装的闸阀、截止阀阀杆应处于上半周范围内，阀门应在关闭状态下进行安装。</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.9 法兰连接</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①法兰密封面和密封垫片不能有影响密封性能的划痕、斑点等缺陷。</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②法兰要与管道同心，螺栓能自由穿入，法兰之间保持平行偏差不大于法兰外径的1.5‰，且不大于2mm。不能用偏垫、多层垫或强紧螺栓的方法消除法兰端面间隙。</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③法兰连接使用同一规格螺栓，安装方向一致，垫圈不超过一个，紧固后螺栓与螺母宜齐平。</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④严禁采用先上垫片并拧紧法兰螺栓，再进行法兰面的焊接。</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⑤螺栓、螺母涂二硫化钼油脂、石墨机油或石墨粉加以保护。</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.10 管道防雷接地安装</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设备需进行作防雷接地,故根据一些规范和经验考虑如下：</w:t>
      </w:r>
    </w:p>
    <w:p>
      <w:pPr>
        <w:keepNext w:val="0"/>
        <w:keepLines w:val="0"/>
        <w:pageBreakBefore w:val="0"/>
        <w:widowControl w:val="0"/>
        <w:kinsoku/>
        <w:wordWrap/>
        <w:overflowPunct/>
        <w:topLinePunct w:val="0"/>
        <w:autoSpaceDE w:val="0"/>
        <w:autoSpaceDN w:val="0"/>
        <w:bidi w:val="0"/>
        <w:adjustRightInd w:val="0"/>
        <w:snapToGrid/>
        <w:spacing w:line="360" w:lineRule="exact"/>
        <w:ind w:left="424" w:leftChars="202" w:right="185"/>
        <w:jc w:val="left"/>
        <w:textAlignment w:val="auto"/>
        <w:rPr>
          <w:rFonts w:ascii="仿宋" w:hAnsi="仿宋" w:eastAsia="仿宋"/>
          <w:sz w:val="24"/>
        </w:rPr>
      </w:pPr>
      <w:r>
        <w:rPr>
          <w:rFonts w:hint="eastAsia" w:ascii="仿宋" w:hAnsi="仿宋" w:eastAsia="仿宋"/>
          <w:sz w:val="24"/>
        </w:rPr>
        <w:t>——金属管道两端均应接地，法兰、阀门等连接处，应采用金属线跨接，以保证各段管子间能导电。</w:t>
      </w:r>
    </w:p>
    <w:p>
      <w:pPr>
        <w:keepNext w:val="0"/>
        <w:keepLines w:val="0"/>
        <w:pageBreakBefore w:val="0"/>
        <w:widowControl w:val="0"/>
        <w:kinsoku/>
        <w:wordWrap/>
        <w:overflowPunct/>
        <w:topLinePunct w:val="0"/>
        <w:autoSpaceDE w:val="0"/>
        <w:autoSpaceDN w:val="0"/>
        <w:bidi w:val="0"/>
        <w:adjustRightInd w:val="0"/>
        <w:snapToGrid/>
        <w:spacing w:line="360" w:lineRule="exact"/>
        <w:ind w:left="424" w:leftChars="202" w:right="185"/>
        <w:jc w:val="left"/>
        <w:textAlignment w:val="auto"/>
        <w:rPr>
          <w:rFonts w:ascii="仿宋" w:hAnsi="仿宋" w:eastAsia="仿宋"/>
          <w:sz w:val="24"/>
        </w:rPr>
      </w:pPr>
      <w:r>
        <w:rPr>
          <w:rFonts w:hint="eastAsia" w:ascii="仿宋" w:hAnsi="仿宋" w:eastAsia="仿宋"/>
          <w:sz w:val="24"/>
        </w:rPr>
        <w:t>——接地引线宜采用焊接形式。</w:t>
      </w:r>
    </w:p>
    <w:p>
      <w:pPr>
        <w:keepNext w:val="0"/>
        <w:keepLines w:val="0"/>
        <w:pageBreakBefore w:val="0"/>
        <w:widowControl w:val="0"/>
        <w:kinsoku/>
        <w:wordWrap/>
        <w:overflowPunct/>
        <w:topLinePunct w:val="0"/>
        <w:autoSpaceDE w:val="0"/>
        <w:autoSpaceDN w:val="0"/>
        <w:bidi w:val="0"/>
        <w:adjustRightInd w:val="0"/>
        <w:snapToGrid/>
        <w:spacing w:line="360" w:lineRule="exact"/>
        <w:ind w:left="424" w:leftChars="202" w:right="185"/>
        <w:jc w:val="left"/>
        <w:textAlignment w:val="auto"/>
        <w:rPr>
          <w:rFonts w:ascii="仿宋" w:hAnsi="仿宋" w:eastAsia="仿宋"/>
          <w:sz w:val="24"/>
        </w:rPr>
      </w:pPr>
      <w:r>
        <w:rPr>
          <w:rFonts w:hint="eastAsia" w:ascii="仿宋" w:hAnsi="仿宋" w:eastAsia="仿宋"/>
          <w:sz w:val="24"/>
        </w:rPr>
        <w:t>——用作接地的材料或零件，安装前不得涂漆，导电接触面必须除锈并紧密连接。</w:t>
      </w:r>
    </w:p>
    <w:p>
      <w:pPr>
        <w:keepNext w:val="0"/>
        <w:keepLines w:val="0"/>
        <w:pageBreakBefore w:val="0"/>
        <w:widowControl w:val="0"/>
        <w:kinsoku/>
        <w:wordWrap/>
        <w:overflowPunct/>
        <w:topLinePunct w:val="0"/>
        <w:autoSpaceDE w:val="0"/>
        <w:autoSpaceDN w:val="0"/>
        <w:bidi w:val="0"/>
        <w:adjustRightInd w:val="0"/>
        <w:snapToGrid/>
        <w:spacing w:line="360" w:lineRule="exact"/>
        <w:ind w:left="424" w:leftChars="202" w:right="185"/>
        <w:jc w:val="left"/>
        <w:textAlignment w:val="auto"/>
        <w:rPr>
          <w:rFonts w:ascii="仿宋" w:hAnsi="仿宋" w:eastAsia="仿宋"/>
          <w:sz w:val="24"/>
        </w:rPr>
      </w:pPr>
      <w:r>
        <w:rPr>
          <w:rFonts w:hint="eastAsia" w:ascii="仿宋" w:hAnsi="仿宋" w:eastAsia="仿宋"/>
          <w:sz w:val="24"/>
        </w:rPr>
        <w:t>——接地安装完毕后，必须进行测试，当电阻值不符规定时，应进行检查与调整。</w:t>
      </w:r>
    </w:p>
    <w:p>
      <w:pPr>
        <w:keepNext w:val="0"/>
        <w:keepLines w:val="0"/>
        <w:pageBreakBefore w:val="0"/>
        <w:widowControl w:val="0"/>
        <w:kinsoku/>
        <w:wordWrap/>
        <w:overflowPunct/>
        <w:topLinePunct w:val="0"/>
        <w:autoSpaceDE w:val="0"/>
        <w:autoSpaceDN w:val="0"/>
        <w:bidi w:val="0"/>
        <w:adjustRightInd w:val="0"/>
        <w:snapToGrid/>
        <w:spacing w:line="360" w:lineRule="exact"/>
        <w:ind w:left="424" w:leftChars="202" w:right="185"/>
        <w:jc w:val="left"/>
        <w:textAlignment w:val="auto"/>
        <w:rPr>
          <w:rFonts w:ascii="仿宋" w:hAnsi="仿宋" w:eastAsia="仿宋"/>
          <w:sz w:val="24"/>
        </w:rPr>
      </w:pPr>
      <w:r>
        <w:rPr>
          <w:rFonts w:hint="eastAsia" w:ascii="仿宋" w:hAnsi="仿宋" w:eastAsia="仿宋"/>
          <w:sz w:val="24"/>
        </w:rPr>
        <w:t>——接地的施工方法参照电气有关施工验收规范。</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.11 试压</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①管道的强度试验压力一般按设计要求进行，采用氮气作为试验介质。</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②试验用压力表必须在检定周期内，压力表精确度不能低于1.5级，表最大刻度值为被测最大压力的1.5-2倍，现场试验用压力表不得少于2块。</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③试压前应对管道进行全面、仔细的检查，把不宜和不需参加试压的设备、仪表断开，然后从低处进氮气，高处排气。管道最高点设置排气阀，灌气时必须排尽管道内空气。</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④试压时应缓慢升压，加压到一定数值时，应停机对管道进行检查，无问题再继续</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加压，当压力达到试验压力时停止加压，在试验压力下保持10分钟。然后降压至工作压力下保持30分钟检查，以无压降、无渗漏为合格。气压试验压力如下：设计压力×1.</w:t>
      </w:r>
      <w:r>
        <w:rPr>
          <w:rFonts w:ascii="仿宋" w:hAnsi="仿宋" w:eastAsia="仿宋"/>
          <w:sz w:val="24"/>
        </w:rPr>
        <w:t>2</w:t>
      </w:r>
      <w:r>
        <w:rPr>
          <w:rFonts w:hint="eastAsia" w:ascii="仿宋" w:hAnsi="仿宋" w:eastAsia="仿宋"/>
          <w:sz w:val="24"/>
        </w:rPr>
        <w:t xml:space="preserve"> 倍。</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⑤试压期间应仔细检查管路系统并认真作好试压记录</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⑥试验合格后及时填写相应的施工表格并由相关人员签字确定。</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⑦试压完成后，要及时恢复原系统，并及时用N2进行吹除处理。</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.12 吹扫</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所有界内管道吹扫的氮气由业主提供，试压合格后可进行管道吹扫，吹扫时应编制详细的吹扫方案。吹扫速度≥20m/s,吹扫压力低于设计压力，用白布或涂漆木靶检查，10分钟之内应无铁锈、尘土、水份或其它杂物，吹扫合格后不能再进行影响管内清洁度工作。</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.13 试运行</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试运行应在管网工程总试压合格，管网吹扫合格，供气设备具备供气条件后进行。</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ascii="仿宋" w:hAnsi="仿宋" w:eastAsia="仿宋"/>
          <w:sz w:val="24"/>
        </w:rPr>
        <w:t>6</w:t>
      </w:r>
      <w:r>
        <w:rPr>
          <w:rFonts w:hint="eastAsia" w:ascii="仿宋" w:hAnsi="仿宋" w:eastAsia="仿宋"/>
          <w:sz w:val="24"/>
        </w:rPr>
        <w:t>.14 防腐油漆施工</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本工程油漆主要是管道支架的除锈涂漆，涂漆颜色按业主要求。</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①油漆的施工，应遵守国家颁发的有关规程和规范的规定。</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②油漆应在该部分安装结束后进行。</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③涂刷油漆前应配制油色样板，色泽和油质符合要求后才能大量调制油料，进行施工。</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④涂刷金属表面油漆应符合下列要求：</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firstLine="424" w:firstLineChars="177"/>
        <w:jc w:val="left"/>
        <w:textAlignment w:val="auto"/>
        <w:rPr>
          <w:rFonts w:ascii="仿宋" w:hAnsi="仿宋" w:eastAsia="仿宋"/>
          <w:sz w:val="24"/>
        </w:rPr>
      </w:pPr>
      <w:r>
        <w:rPr>
          <w:rFonts w:hint="eastAsia" w:ascii="仿宋" w:hAnsi="仿宋" w:eastAsia="仿宋"/>
          <w:sz w:val="24"/>
        </w:rPr>
        <w:t>——金属表面的油垢、灰尘及铁锈必须清除干净；</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firstLine="424" w:firstLineChars="177"/>
        <w:jc w:val="left"/>
        <w:textAlignment w:val="auto"/>
        <w:rPr>
          <w:rFonts w:ascii="仿宋" w:hAnsi="仿宋" w:eastAsia="仿宋"/>
          <w:sz w:val="24"/>
        </w:rPr>
      </w:pPr>
      <w:r>
        <w:rPr>
          <w:rFonts w:hint="eastAsia" w:ascii="仿宋" w:hAnsi="仿宋" w:eastAsia="仿宋"/>
          <w:sz w:val="24"/>
        </w:rPr>
        <w:t>——金属表面应先涂两层防锈漆；</w:t>
      </w:r>
    </w:p>
    <w:p>
      <w:pPr>
        <w:keepNext w:val="0"/>
        <w:keepLines w:val="0"/>
        <w:pageBreakBefore w:val="0"/>
        <w:widowControl w:val="0"/>
        <w:kinsoku/>
        <w:wordWrap/>
        <w:overflowPunct/>
        <w:topLinePunct w:val="0"/>
        <w:autoSpaceDE w:val="0"/>
        <w:autoSpaceDN w:val="0"/>
        <w:bidi w:val="0"/>
        <w:adjustRightInd w:val="0"/>
        <w:snapToGrid/>
        <w:spacing w:line="360" w:lineRule="exact"/>
        <w:ind w:left="422" w:leftChars="201" w:right="185" w:rightChars="88"/>
        <w:jc w:val="left"/>
        <w:textAlignment w:val="auto"/>
        <w:rPr>
          <w:rFonts w:ascii="仿宋" w:hAnsi="仿宋" w:eastAsia="仿宋"/>
          <w:sz w:val="24"/>
        </w:rPr>
      </w:pPr>
      <w:r>
        <w:rPr>
          <w:rFonts w:hint="eastAsia" w:ascii="仿宋" w:hAnsi="仿宋" w:eastAsia="仿宋"/>
          <w:sz w:val="24"/>
        </w:rPr>
        <w:t>——在多层涂刷操作中，必须注意各层必要的干燥时间，层间结合应严密，不得有分层现象；</w:t>
      </w:r>
    </w:p>
    <w:p>
      <w:pPr>
        <w:keepNext w:val="0"/>
        <w:keepLines w:val="0"/>
        <w:pageBreakBefore w:val="0"/>
        <w:widowControl w:val="0"/>
        <w:kinsoku/>
        <w:wordWrap/>
        <w:overflowPunct/>
        <w:topLinePunct w:val="0"/>
        <w:autoSpaceDE w:val="0"/>
        <w:autoSpaceDN w:val="0"/>
        <w:bidi w:val="0"/>
        <w:adjustRightInd w:val="0"/>
        <w:snapToGrid/>
        <w:spacing w:line="360" w:lineRule="exact"/>
        <w:ind w:left="422" w:leftChars="201" w:right="185" w:rightChars="88"/>
        <w:jc w:val="left"/>
        <w:textAlignment w:val="auto"/>
        <w:rPr>
          <w:rFonts w:ascii="仿宋" w:hAnsi="仿宋" w:eastAsia="仿宋"/>
          <w:sz w:val="24"/>
        </w:rPr>
      </w:pPr>
      <w:r>
        <w:rPr>
          <w:rFonts w:hint="eastAsia" w:ascii="仿宋" w:hAnsi="仿宋" w:eastAsia="仿宋"/>
          <w:sz w:val="24"/>
        </w:rPr>
        <w:t>——涂刷后表面的色调应均匀一致，不得有透底斑迹，脱落、皱纹、流痕、浮膜、漆粒及明显刷痕等缺陷。</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⑤油漆施工必须在较干燥的气候条件下进行，已经施工的油漆表面在干燥前应防止剧烈的温度变化和高温空气的侵袭。</w:t>
      </w:r>
    </w:p>
    <w:p>
      <w:pPr>
        <w:keepNext w:val="0"/>
        <w:keepLines w:val="0"/>
        <w:pageBreakBefore w:val="0"/>
        <w:widowControl w:val="0"/>
        <w:kinsoku/>
        <w:wordWrap/>
        <w:overflowPunct/>
        <w:topLinePunct w:val="0"/>
        <w:autoSpaceDE w:val="0"/>
        <w:autoSpaceDN w:val="0"/>
        <w:bidi w:val="0"/>
        <w:adjustRightInd w:val="0"/>
        <w:snapToGrid/>
        <w:spacing w:line="360" w:lineRule="exact"/>
        <w:ind w:right="185"/>
        <w:jc w:val="left"/>
        <w:textAlignment w:val="auto"/>
        <w:rPr>
          <w:rFonts w:ascii="仿宋" w:hAnsi="仿宋" w:eastAsia="仿宋"/>
          <w:sz w:val="24"/>
        </w:rPr>
      </w:pPr>
      <w:r>
        <w:rPr>
          <w:rFonts w:hint="eastAsia" w:ascii="仿宋" w:hAnsi="仿宋" w:eastAsia="仿宋"/>
          <w:sz w:val="24"/>
        </w:rPr>
        <w:t>⑥涂刷最后一遍油漆时，一般不得在油漆中掺入催干剂。</w:t>
      </w:r>
      <w:bookmarkStart w:id="4" w:name="_Toc146332435"/>
      <w:bookmarkEnd w:id="4"/>
    </w:p>
    <w:p>
      <w:pPr>
        <w:keepNext/>
        <w:keepLines/>
        <w:spacing w:line="360" w:lineRule="auto"/>
        <w:ind w:right="185"/>
        <w:jc w:val="center"/>
        <w:outlineLvl w:val="0"/>
        <w:rPr>
          <w:rFonts w:ascii="仿宋" w:hAnsi="仿宋" w:eastAsia="仿宋"/>
          <w:b/>
          <w:bCs/>
          <w:kern w:val="44"/>
          <w:sz w:val="28"/>
          <w:szCs w:val="28"/>
        </w:rPr>
      </w:pPr>
      <w:bookmarkStart w:id="5" w:name="_Toc340741329"/>
      <w:bookmarkStart w:id="6" w:name="_Toc23975"/>
      <w:r>
        <w:rPr>
          <w:rFonts w:hint="eastAsia" w:ascii="仿宋" w:hAnsi="仿宋" w:eastAsia="仿宋"/>
          <w:b/>
          <w:bCs/>
          <w:kern w:val="44"/>
          <w:sz w:val="28"/>
          <w:szCs w:val="28"/>
          <w:lang w:eastAsia="zh-CN"/>
        </w:rPr>
        <w:t>七</w:t>
      </w:r>
      <w:r>
        <w:rPr>
          <w:rFonts w:hint="eastAsia" w:ascii="仿宋" w:hAnsi="仿宋" w:eastAsia="仿宋"/>
          <w:b/>
          <w:bCs/>
          <w:kern w:val="44"/>
          <w:sz w:val="28"/>
          <w:szCs w:val="28"/>
        </w:rPr>
        <w:t>、安全设施</w:t>
      </w:r>
      <w:bookmarkEnd w:id="5"/>
      <w:bookmarkEnd w:id="6"/>
    </w:p>
    <w:p>
      <w:pPr>
        <w:keepNext w:val="0"/>
        <w:keepLines w:val="0"/>
        <w:pageBreakBefore w:val="0"/>
        <w:widowControl w:val="0"/>
        <w:kinsoku/>
        <w:wordWrap/>
        <w:overflowPunct/>
        <w:topLinePunct w:val="0"/>
        <w:bidi w:val="0"/>
        <w:snapToGrid/>
        <w:spacing w:line="360" w:lineRule="exact"/>
        <w:ind w:right="185" w:firstLine="480" w:firstLineChars="200"/>
        <w:textAlignment w:val="auto"/>
        <w:rPr>
          <w:rFonts w:ascii="仿宋" w:hAnsi="仿宋" w:eastAsia="仿宋"/>
          <w:sz w:val="24"/>
        </w:rPr>
      </w:pPr>
      <w:r>
        <w:rPr>
          <w:rFonts w:hint="eastAsia" w:ascii="仿宋" w:hAnsi="仿宋" w:eastAsia="仿宋"/>
          <w:sz w:val="24"/>
        </w:rPr>
        <w:t>总图布置执行有关规范要求，满足防火距离，贮罐与围墙间有一定开阔地带，一旦气体泄漏能及时安全扩散。建筑物之间均有足够的安全距离。气化区域达到通风采光良好，改善操作条件。</w:t>
      </w:r>
    </w:p>
    <w:p>
      <w:pPr>
        <w:keepNext w:val="0"/>
        <w:keepLines w:val="0"/>
        <w:pageBreakBefore w:val="0"/>
        <w:widowControl w:val="0"/>
        <w:kinsoku/>
        <w:wordWrap/>
        <w:overflowPunct/>
        <w:topLinePunct w:val="0"/>
        <w:bidi w:val="0"/>
        <w:snapToGrid/>
        <w:spacing w:line="360" w:lineRule="exact"/>
        <w:ind w:right="185"/>
        <w:textAlignment w:val="auto"/>
        <w:rPr>
          <w:rFonts w:ascii="仿宋" w:hAnsi="仿宋" w:eastAsia="仿宋"/>
          <w:color w:val="000000"/>
          <w:sz w:val="24"/>
        </w:rPr>
      </w:pPr>
      <w:r>
        <w:rPr>
          <w:rFonts w:ascii="仿宋" w:hAnsi="仿宋" w:eastAsia="仿宋"/>
          <w:color w:val="000000"/>
          <w:sz w:val="24"/>
        </w:rPr>
        <w:t>8</w:t>
      </w:r>
      <w:r>
        <w:rPr>
          <w:rFonts w:hint="eastAsia" w:ascii="仿宋" w:hAnsi="仿宋" w:eastAsia="仿宋"/>
          <w:color w:val="000000"/>
          <w:sz w:val="24"/>
        </w:rPr>
        <w:t>.</w:t>
      </w:r>
      <w:r>
        <w:rPr>
          <w:rFonts w:ascii="仿宋" w:hAnsi="仿宋" w:eastAsia="仿宋"/>
          <w:color w:val="000000"/>
          <w:sz w:val="24"/>
        </w:rPr>
        <w:t>1</w:t>
      </w:r>
      <w:r>
        <w:rPr>
          <w:rFonts w:hint="eastAsia" w:ascii="仿宋" w:hAnsi="仿宋" w:eastAsia="仿宋"/>
          <w:color w:val="000000"/>
          <w:sz w:val="24"/>
        </w:rPr>
        <w:t>为了强化站区安全措施，消防应设施有手提式干粉灭火器及推车式干粉灭火器。</w:t>
      </w:r>
    </w:p>
    <w:p>
      <w:pPr>
        <w:keepNext w:val="0"/>
        <w:keepLines w:val="0"/>
        <w:pageBreakBefore w:val="0"/>
        <w:widowControl w:val="0"/>
        <w:kinsoku/>
        <w:wordWrap/>
        <w:overflowPunct/>
        <w:topLinePunct w:val="0"/>
        <w:bidi w:val="0"/>
        <w:snapToGrid/>
        <w:spacing w:line="360" w:lineRule="exact"/>
        <w:ind w:right="185"/>
        <w:textAlignment w:val="auto"/>
        <w:rPr>
          <w:rFonts w:ascii="仿宋" w:hAnsi="仿宋" w:eastAsia="仿宋"/>
          <w:sz w:val="24"/>
        </w:rPr>
      </w:pPr>
      <w:r>
        <w:rPr>
          <w:rFonts w:ascii="仿宋" w:hAnsi="仿宋" w:eastAsia="仿宋"/>
          <w:color w:val="000000"/>
          <w:sz w:val="24"/>
        </w:rPr>
        <w:t>8</w:t>
      </w:r>
      <w:r>
        <w:rPr>
          <w:rFonts w:hint="eastAsia" w:ascii="仿宋" w:hAnsi="仿宋" w:eastAsia="仿宋"/>
          <w:color w:val="000000"/>
          <w:sz w:val="24"/>
        </w:rPr>
        <w:t>.</w:t>
      </w:r>
      <w:r>
        <w:rPr>
          <w:rFonts w:ascii="仿宋" w:hAnsi="仿宋" w:eastAsia="仿宋"/>
          <w:color w:val="000000"/>
          <w:sz w:val="24"/>
        </w:rPr>
        <w:t>2</w:t>
      </w:r>
      <w:r>
        <w:rPr>
          <w:rFonts w:hint="eastAsia" w:ascii="仿宋" w:hAnsi="仿宋" w:eastAsia="仿宋"/>
          <w:color w:val="000000"/>
          <w:sz w:val="24"/>
        </w:rPr>
        <w:t xml:space="preserve"> 操作工作人员应获得相关主管部门颁发</w:t>
      </w:r>
      <w:r>
        <w:rPr>
          <w:rFonts w:hint="eastAsia" w:ascii="仿宋" w:hAnsi="仿宋" w:eastAsia="仿宋"/>
          <w:sz w:val="24"/>
        </w:rPr>
        <w:t>的上岗许可，按各种设备的操作规程操作，可防止意外发生。</w:t>
      </w:r>
    </w:p>
    <w:p>
      <w:pPr>
        <w:keepNext/>
        <w:keepLines/>
        <w:spacing w:line="360" w:lineRule="auto"/>
        <w:ind w:right="185"/>
        <w:jc w:val="center"/>
        <w:outlineLvl w:val="0"/>
        <w:rPr>
          <w:rFonts w:ascii="仿宋" w:hAnsi="仿宋" w:eastAsia="仿宋"/>
          <w:b/>
          <w:bCs/>
          <w:kern w:val="44"/>
          <w:sz w:val="28"/>
          <w:szCs w:val="28"/>
        </w:rPr>
      </w:pPr>
      <w:bookmarkStart w:id="7" w:name="_Toc9143"/>
      <w:bookmarkStart w:id="8" w:name="_Toc340741330"/>
      <w:r>
        <w:rPr>
          <w:rFonts w:hint="eastAsia" w:ascii="仿宋" w:hAnsi="仿宋" w:eastAsia="仿宋"/>
          <w:b/>
          <w:bCs/>
          <w:kern w:val="44"/>
          <w:sz w:val="28"/>
          <w:szCs w:val="28"/>
          <w:lang w:eastAsia="zh-CN"/>
        </w:rPr>
        <w:t>八</w:t>
      </w:r>
      <w:r>
        <w:rPr>
          <w:rFonts w:hint="eastAsia" w:ascii="仿宋" w:hAnsi="仿宋" w:eastAsia="仿宋"/>
          <w:b/>
          <w:bCs/>
          <w:kern w:val="44"/>
          <w:sz w:val="28"/>
          <w:szCs w:val="28"/>
        </w:rPr>
        <w:t>、质量保证及服务</w:t>
      </w:r>
      <w:bookmarkEnd w:id="7"/>
      <w:bookmarkEnd w:id="8"/>
    </w:p>
    <w:tbl>
      <w:tblPr>
        <w:tblStyle w:val="3"/>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77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7" w:hRule="atLeast"/>
        </w:trPr>
        <w:tc>
          <w:tcPr>
            <w:tcW w:w="1276" w:type="dxa"/>
            <w:tcBorders>
              <w:top w:val="single" w:color="auto" w:sz="12" w:space="0"/>
              <w:left w:val="single" w:color="auto" w:sz="12" w:space="0"/>
              <w:bottom w:val="single" w:color="auto" w:sz="6" w:space="0"/>
              <w:right w:val="single" w:color="auto" w:sz="6" w:space="0"/>
            </w:tcBorders>
          </w:tcPr>
          <w:p>
            <w:pPr>
              <w:spacing w:line="432" w:lineRule="auto"/>
              <w:ind w:right="185"/>
              <w:jc w:val="center"/>
              <w:rPr>
                <w:rFonts w:ascii="仿宋" w:hAnsi="仿宋" w:eastAsia="仿宋"/>
                <w:b/>
                <w:sz w:val="24"/>
              </w:rPr>
            </w:pPr>
            <w:r>
              <w:rPr>
                <w:rFonts w:hint="eastAsia" w:ascii="仿宋" w:hAnsi="仿宋" w:eastAsia="仿宋"/>
                <w:b/>
                <w:sz w:val="24"/>
              </w:rPr>
              <w:t>项  目</w:t>
            </w:r>
          </w:p>
        </w:tc>
        <w:tc>
          <w:tcPr>
            <w:tcW w:w="7724" w:type="dxa"/>
            <w:tcBorders>
              <w:top w:val="single" w:color="auto" w:sz="12" w:space="0"/>
              <w:left w:val="single" w:color="auto" w:sz="6" w:space="0"/>
              <w:bottom w:val="single" w:color="auto" w:sz="6" w:space="0"/>
              <w:right w:val="single" w:color="auto" w:sz="12" w:space="0"/>
            </w:tcBorders>
          </w:tcPr>
          <w:p>
            <w:pPr>
              <w:spacing w:line="432" w:lineRule="auto"/>
              <w:ind w:right="185"/>
              <w:jc w:val="center"/>
              <w:rPr>
                <w:rFonts w:ascii="仿宋" w:hAnsi="仿宋" w:eastAsia="仿宋"/>
                <w:b/>
                <w:sz w:val="24"/>
              </w:rPr>
            </w:pPr>
            <w:r>
              <w:rPr>
                <w:rFonts w:hint="eastAsia" w:ascii="仿宋" w:hAnsi="仿宋" w:eastAsia="仿宋"/>
                <w:b/>
                <w:sz w:val="24"/>
              </w:rPr>
              <w:t>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4" w:hRule="atLeast"/>
        </w:trPr>
        <w:tc>
          <w:tcPr>
            <w:tcW w:w="127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snapToGrid/>
              <w:spacing w:line="360" w:lineRule="exact"/>
              <w:ind w:right="185"/>
              <w:jc w:val="center"/>
              <w:textAlignment w:val="auto"/>
              <w:rPr>
                <w:rFonts w:ascii="仿宋" w:hAnsi="仿宋" w:eastAsia="仿宋"/>
                <w:sz w:val="24"/>
              </w:rPr>
            </w:pPr>
            <w:r>
              <w:rPr>
                <w:rFonts w:hint="eastAsia" w:ascii="仿宋" w:hAnsi="仿宋" w:eastAsia="仿宋"/>
                <w:sz w:val="24"/>
              </w:rPr>
              <w:t>质保期</w:t>
            </w:r>
          </w:p>
        </w:tc>
        <w:tc>
          <w:tcPr>
            <w:tcW w:w="7724"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bidi w:val="0"/>
              <w:snapToGrid/>
              <w:spacing w:line="360" w:lineRule="exact"/>
              <w:ind w:right="185"/>
              <w:textAlignment w:val="auto"/>
              <w:rPr>
                <w:rFonts w:ascii="仿宋" w:hAnsi="仿宋" w:eastAsia="仿宋"/>
                <w:sz w:val="24"/>
              </w:rPr>
            </w:pPr>
            <w:r>
              <w:rPr>
                <w:rFonts w:hint="eastAsia" w:ascii="仿宋" w:hAnsi="仿宋" w:eastAsia="仿宋"/>
                <w:sz w:val="24"/>
              </w:rPr>
              <w:t>设备质保期为12个月，从工程验收合格之日起开始计算。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11" w:hRule="atLeast"/>
        </w:trPr>
        <w:tc>
          <w:tcPr>
            <w:tcW w:w="1276" w:type="dxa"/>
            <w:tcBorders>
              <w:top w:val="single" w:color="auto" w:sz="6" w:space="0"/>
              <w:left w:val="single" w:color="auto" w:sz="12" w:space="0"/>
              <w:bottom w:val="single" w:color="auto" w:sz="12" w:space="0"/>
              <w:right w:val="single" w:color="auto" w:sz="6" w:space="0"/>
            </w:tcBorders>
            <w:vAlign w:val="center"/>
          </w:tcPr>
          <w:p>
            <w:pPr>
              <w:keepNext w:val="0"/>
              <w:keepLines w:val="0"/>
              <w:pageBreakBefore w:val="0"/>
              <w:widowControl w:val="0"/>
              <w:kinsoku/>
              <w:wordWrap/>
              <w:overflowPunct/>
              <w:topLinePunct w:val="0"/>
              <w:bidi w:val="0"/>
              <w:snapToGrid/>
              <w:spacing w:line="360" w:lineRule="exact"/>
              <w:ind w:right="185"/>
              <w:jc w:val="center"/>
              <w:textAlignment w:val="auto"/>
              <w:rPr>
                <w:rFonts w:ascii="仿宋" w:hAnsi="仿宋" w:eastAsia="仿宋"/>
                <w:sz w:val="24"/>
              </w:rPr>
            </w:pPr>
            <w:r>
              <w:rPr>
                <w:rFonts w:hint="eastAsia" w:ascii="仿宋" w:hAnsi="仿宋" w:eastAsia="仿宋"/>
                <w:sz w:val="24"/>
              </w:rPr>
              <w:t>维  修</w:t>
            </w:r>
          </w:p>
        </w:tc>
        <w:tc>
          <w:tcPr>
            <w:tcW w:w="7724" w:type="dxa"/>
            <w:tcBorders>
              <w:top w:val="single" w:color="auto" w:sz="6" w:space="0"/>
              <w:left w:val="single" w:color="auto" w:sz="6" w:space="0"/>
              <w:bottom w:val="single" w:color="auto" w:sz="12" w:space="0"/>
              <w:right w:val="single" w:color="auto" w:sz="12" w:space="0"/>
            </w:tcBorders>
          </w:tcPr>
          <w:p>
            <w:pPr>
              <w:keepNext w:val="0"/>
              <w:keepLines w:val="0"/>
              <w:pageBreakBefore w:val="0"/>
              <w:widowControl w:val="0"/>
              <w:tabs>
                <w:tab w:val="left" w:pos="1170"/>
              </w:tabs>
              <w:kinsoku/>
              <w:wordWrap/>
              <w:overflowPunct/>
              <w:topLinePunct w:val="0"/>
              <w:autoSpaceDE/>
              <w:autoSpaceDN/>
              <w:bidi w:val="0"/>
              <w:adjustRightInd/>
              <w:snapToGrid/>
              <w:spacing w:before="156" w:beforeLines="50" w:line="360" w:lineRule="exact"/>
              <w:ind w:right="-210" w:rightChars="-100"/>
              <w:textAlignment w:val="auto"/>
              <w:rPr>
                <w:rFonts w:ascii="仿宋" w:hAnsi="仿宋" w:eastAsia="仿宋"/>
                <w:sz w:val="24"/>
              </w:rPr>
            </w:pPr>
            <w:r>
              <w:rPr>
                <w:rFonts w:hint="eastAsia" w:ascii="仿宋" w:hAnsi="仿宋" w:eastAsia="仿宋"/>
                <w:sz w:val="24"/>
              </w:rPr>
              <w:t>1、严格遵守国家现行的规范标准，进行设计和施工。</w:t>
            </w:r>
          </w:p>
          <w:p>
            <w:pPr>
              <w:keepNext w:val="0"/>
              <w:keepLines w:val="0"/>
              <w:pageBreakBefore w:val="0"/>
              <w:widowControl w:val="0"/>
              <w:kinsoku/>
              <w:wordWrap/>
              <w:overflowPunct/>
              <w:topLinePunct w:val="0"/>
              <w:autoSpaceDE/>
              <w:autoSpaceDN/>
              <w:bidi w:val="0"/>
              <w:adjustRightInd/>
              <w:snapToGrid/>
              <w:spacing w:line="360" w:lineRule="exact"/>
              <w:ind w:right="185"/>
              <w:textAlignment w:val="auto"/>
              <w:rPr>
                <w:rFonts w:ascii="仿宋" w:hAnsi="仿宋" w:eastAsia="仿宋"/>
                <w:sz w:val="24"/>
              </w:rPr>
            </w:pPr>
            <w:r>
              <w:rPr>
                <w:rFonts w:hint="eastAsia" w:ascii="仿宋" w:hAnsi="仿宋" w:eastAsia="仿宋"/>
                <w:sz w:val="24"/>
              </w:rPr>
              <w:t>2、严格按</w:t>
            </w:r>
            <w:r>
              <w:rPr>
                <w:rFonts w:hint="eastAsia" w:ascii="仿宋" w:hAnsi="仿宋" w:eastAsia="仿宋"/>
                <w:sz w:val="24"/>
                <w:highlight w:val="none"/>
                <w:lang w:eastAsia="zh-CN"/>
              </w:rPr>
              <w:t>相应的</w:t>
            </w:r>
            <w:r>
              <w:rPr>
                <w:rFonts w:hint="eastAsia" w:ascii="仿宋" w:hAnsi="仿宋" w:eastAsia="仿宋"/>
                <w:sz w:val="24"/>
              </w:rPr>
              <w:t>质量保证体系运作，做到从原材料（焊材；无缝钢管；阀门；受压管件；螺丝；仪表）的采购申请、审批、入库的检验（所有材料要有产品合格证或质量保证书，阀门入库前还必须上检测台进行强度和气密性试验，合格品入库，不合格品退货）、材料出仓检验、安装前施工现场较验。每个环节都有人负责把关。安装后的所有材料都有可追溯性。</w:t>
            </w:r>
          </w:p>
          <w:p>
            <w:pPr>
              <w:pStyle w:val="2"/>
              <w:keepNext w:val="0"/>
              <w:keepLines w:val="0"/>
              <w:pageBreakBefore w:val="0"/>
              <w:widowControl w:val="0"/>
              <w:kinsoku/>
              <w:wordWrap/>
              <w:overflowPunct/>
              <w:topLinePunct w:val="0"/>
              <w:autoSpaceDE/>
              <w:autoSpaceDN/>
              <w:bidi w:val="0"/>
              <w:adjustRightInd/>
              <w:snapToGrid/>
              <w:spacing w:line="360" w:lineRule="exact"/>
              <w:ind w:right="185" w:firstLine="0" w:firstLineChars="0"/>
              <w:textAlignment w:val="auto"/>
              <w:rPr>
                <w:rFonts w:ascii="仿宋" w:hAnsi="仿宋" w:eastAsia="仿宋"/>
                <w:color w:val="000000"/>
                <w:szCs w:val="24"/>
              </w:rPr>
            </w:pPr>
            <w:r>
              <w:rPr>
                <w:rFonts w:hint="eastAsia" w:ascii="仿宋" w:hAnsi="仿宋" w:eastAsia="仿宋"/>
                <w:color w:val="000000"/>
                <w:szCs w:val="24"/>
              </w:rPr>
              <w:t>3</w:t>
            </w:r>
            <w:r>
              <w:rPr>
                <w:rFonts w:hint="eastAsia" w:ascii="仿宋" w:hAnsi="仿宋" w:eastAsia="仿宋"/>
                <w:color w:val="000000"/>
                <w:szCs w:val="24"/>
                <w:lang w:eastAsia="zh-CN"/>
              </w:rPr>
              <w:t>、</w:t>
            </w:r>
            <w:r>
              <w:rPr>
                <w:rFonts w:hint="eastAsia" w:ascii="仿宋" w:hAnsi="仿宋" w:eastAsia="仿宋"/>
                <w:color w:val="000000"/>
                <w:szCs w:val="24"/>
              </w:rPr>
              <w:t>产品质量证明书：产品合格证</w:t>
            </w:r>
          </w:p>
          <w:p>
            <w:pPr>
              <w:keepNext w:val="0"/>
              <w:keepLines w:val="0"/>
              <w:pageBreakBefore w:val="0"/>
              <w:widowControl w:val="0"/>
              <w:kinsoku/>
              <w:wordWrap/>
              <w:overflowPunct/>
              <w:topLinePunct w:val="0"/>
              <w:autoSpaceDE/>
              <w:autoSpaceDN/>
              <w:bidi w:val="0"/>
              <w:adjustRightInd/>
              <w:snapToGrid/>
              <w:spacing w:line="360" w:lineRule="exact"/>
              <w:ind w:right="185"/>
              <w:textAlignment w:val="auto"/>
              <w:rPr>
                <w:rFonts w:ascii="仿宋" w:hAnsi="仿宋" w:eastAsia="仿宋"/>
                <w:sz w:val="24"/>
              </w:rPr>
            </w:pPr>
            <w:r>
              <w:rPr>
                <w:rFonts w:hint="eastAsia" w:ascii="仿宋" w:hAnsi="仿宋" w:eastAsia="仿宋"/>
                <w:sz w:val="24"/>
              </w:rPr>
              <w:t>4、长期提供技术支持和咨询。</w:t>
            </w:r>
          </w:p>
          <w:p>
            <w:pPr>
              <w:keepNext w:val="0"/>
              <w:keepLines w:val="0"/>
              <w:pageBreakBefore w:val="0"/>
              <w:widowControl w:val="0"/>
              <w:kinsoku/>
              <w:wordWrap/>
              <w:overflowPunct/>
              <w:topLinePunct w:val="0"/>
              <w:autoSpaceDE/>
              <w:autoSpaceDN/>
              <w:bidi w:val="0"/>
              <w:adjustRightInd/>
              <w:snapToGrid/>
              <w:spacing w:line="360" w:lineRule="exact"/>
              <w:ind w:right="185"/>
              <w:textAlignment w:val="auto"/>
              <w:rPr>
                <w:rFonts w:ascii="仿宋" w:hAnsi="仿宋" w:eastAsia="仿宋"/>
                <w:sz w:val="24"/>
              </w:rPr>
            </w:pPr>
            <w:r>
              <w:rPr>
                <w:rFonts w:hint="eastAsia" w:ascii="仿宋" w:hAnsi="仿宋" w:eastAsia="仿宋"/>
                <w:sz w:val="24"/>
              </w:rPr>
              <w:t>5、质保期内，非人为原因造成的工程质量问题由乙方无偿维修；人为原因造成的</w:t>
            </w:r>
            <w:r>
              <w:rPr>
                <w:rFonts w:hint="eastAsia" w:ascii="仿宋" w:hAnsi="仿宋" w:eastAsia="仿宋"/>
                <w:sz w:val="24"/>
                <w:lang w:eastAsia="zh-CN"/>
              </w:rPr>
              <w:t>问题可委托乙方维修</w:t>
            </w:r>
            <w:r>
              <w:rPr>
                <w:rFonts w:hint="eastAsia" w:ascii="仿宋" w:hAnsi="仿宋" w:eastAsia="仿宋"/>
                <w:sz w:val="24"/>
              </w:rPr>
              <w:t>，费用另议。</w:t>
            </w:r>
          </w:p>
          <w:p>
            <w:pPr>
              <w:keepNext w:val="0"/>
              <w:keepLines w:val="0"/>
              <w:pageBreakBefore w:val="0"/>
              <w:widowControl w:val="0"/>
              <w:kinsoku/>
              <w:wordWrap/>
              <w:overflowPunct/>
              <w:topLinePunct w:val="0"/>
              <w:autoSpaceDE/>
              <w:autoSpaceDN/>
              <w:bidi w:val="0"/>
              <w:adjustRightInd/>
              <w:snapToGrid/>
              <w:spacing w:line="360" w:lineRule="exact"/>
              <w:ind w:right="185"/>
              <w:textAlignment w:val="auto"/>
              <w:rPr>
                <w:rFonts w:ascii="仿宋" w:hAnsi="仿宋" w:eastAsia="仿宋"/>
                <w:sz w:val="24"/>
              </w:rPr>
            </w:pPr>
            <w:r>
              <w:rPr>
                <w:rFonts w:hint="eastAsia" w:ascii="仿宋" w:hAnsi="仿宋" w:eastAsia="仿宋"/>
                <w:sz w:val="24"/>
              </w:rPr>
              <w:t>6、质保期过后，继续提供维修和配件供应服务。</w:t>
            </w:r>
          </w:p>
        </w:tc>
      </w:tr>
    </w:tbl>
    <w:p>
      <w:pPr>
        <w:numPr>
          <w:ilvl w:val="0"/>
          <w:numId w:val="0"/>
        </w:numPr>
        <w:autoSpaceDE w:val="0"/>
        <w:autoSpaceDN w:val="0"/>
        <w:adjustRightInd w:val="0"/>
        <w:spacing w:line="480" w:lineRule="auto"/>
        <w:ind w:right="185" w:rightChars="0"/>
        <w:jc w:val="center"/>
        <w:rPr>
          <w:rFonts w:ascii="仿宋" w:hAnsi="仿宋" w:eastAsia="仿宋"/>
          <w:b/>
          <w:bCs/>
          <w:sz w:val="28"/>
          <w:szCs w:val="28"/>
        </w:rPr>
      </w:pPr>
      <w:r>
        <w:rPr>
          <w:rFonts w:hint="eastAsia" w:ascii="仿宋" w:hAnsi="仿宋" w:eastAsia="仿宋"/>
          <w:b/>
          <w:bCs/>
          <w:sz w:val="28"/>
          <w:szCs w:val="28"/>
          <w:lang w:eastAsia="zh-CN"/>
        </w:rPr>
        <w:t>九、</w:t>
      </w:r>
      <w:r>
        <w:rPr>
          <w:rFonts w:hint="eastAsia" w:ascii="仿宋" w:hAnsi="仿宋" w:eastAsia="仿宋"/>
          <w:b/>
          <w:bCs/>
          <w:sz w:val="28"/>
          <w:szCs w:val="28"/>
        </w:rPr>
        <w:t>质量要求</w:t>
      </w:r>
    </w:p>
    <w:p>
      <w:pPr>
        <w:pStyle w:val="6"/>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exact"/>
        <w:ind w:right="185" w:firstLineChars="0"/>
        <w:jc w:val="left"/>
        <w:textAlignment w:val="auto"/>
        <w:rPr>
          <w:rFonts w:ascii="仿宋" w:hAnsi="仿宋" w:eastAsia="仿宋"/>
          <w:sz w:val="24"/>
        </w:rPr>
      </w:pPr>
      <w:r>
        <w:rPr>
          <w:rFonts w:hint="eastAsia" w:ascii="仿宋" w:hAnsi="仿宋" w:eastAsia="仿宋"/>
          <w:sz w:val="24"/>
        </w:rPr>
        <w:t>本项目阀门要求：材质要求为</w:t>
      </w:r>
      <w:r>
        <w:rPr>
          <w:rFonts w:ascii="仿宋" w:hAnsi="仿宋" w:eastAsia="仿宋"/>
          <w:sz w:val="24"/>
        </w:rPr>
        <w:t>304</w:t>
      </w:r>
      <w:r>
        <w:rPr>
          <w:rFonts w:hint="eastAsia" w:ascii="仿宋" w:hAnsi="仿宋" w:eastAsia="仿宋"/>
          <w:sz w:val="24"/>
        </w:rPr>
        <w:t>不锈钢国标阀门，提供材料的资质和质量资料。</w:t>
      </w:r>
    </w:p>
    <w:p>
      <w:pPr>
        <w:pStyle w:val="6"/>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exact"/>
        <w:ind w:right="185" w:firstLineChars="0"/>
        <w:jc w:val="left"/>
        <w:textAlignment w:val="auto"/>
        <w:rPr>
          <w:rFonts w:ascii="仿宋" w:hAnsi="仿宋" w:eastAsia="仿宋"/>
        </w:rPr>
      </w:pPr>
      <w:r>
        <w:rPr>
          <w:rFonts w:hint="eastAsia" w:ascii="仿宋" w:hAnsi="仿宋" w:eastAsia="仿宋"/>
          <w:sz w:val="24"/>
        </w:rPr>
        <w:t>本项目管道要求：不锈钢管道全部采用C304材质，D</w:t>
      </w:r>
      <w:r>
        <w:rPr>
          <w:rFonts w:ascii="仿宋" w:hAnsi="仿宋" w:eastAsia="仿宋"/>
          <w:sz w:val="24"/>
        </w:rPr>
        <w:t>N50</w:t>
      </w:r>
      <w:r>
        <w:rPr>
          <w:rFonts w:hint="eastAsia" w:ascii="仿宋" w:hAnsi="仿宋" w:eastAsia="仿宋"/>
          <w:sz w:val="24"/>
        </w:rPr>
        <w:t>壁厚要求3-3.5mm，D</w:t>
      </w:r>
      <w:r>
        <w:rPr>
          <w:rFonts w:ascii="仿宋" w:hAnsi="仿宋" w:eastAsia="仿宋"/>
          <w:sz w:val="24"/>
        </w:rPr>
        <w:t>N15</w:t>
      </w:r>
      <w:r>
        <w:rPr>
          <w:rFonts w:hint="eastAsia" w:ascii="仿宋" w:hAnsi="仿宋" w:eastAsia="仿宋"/>
          <w:sz w:val="24"/>
        </w:rPr>
        <w:t>壁厚要求2-</w:t>
      </w:r>
      <w:r>
        <w:rPr>
          <w:rFonts w:ascii="仿宋" w:hAnsi="仿宋" w:eastAsia="仿宋"/>
          <w:sz w:val="24"/>
        </w:rPr>
        <w:t>2</w:t>
      </w:r>
      <w:r>
        <w:rPr>
          <w:rFonts w:hint="eastAsia" w:ascii="仿宋" w:hAnsi="仿宋" w:eastAsia="仿宋"/>
          <w:sz w:val="24"/>
        </w:rPr>
        <w:t>.5mm，提供材料的资质和质量资料。</w:t>
      </w:r>
    </w:p>
    <w:p>
      <w:pPr>
        <w:pStyle w:val="6"/>
        <w:keepNext w:val="0"/>
        <w:keepLines w:val="0"/>
        <w:pageBreakBefore w:val="0"/>
        <w:widowControl w:val="0"/>
        <w:numPr>
          <w:ilvl w:val="0"/>
          <w:numId w:val="3"/>
        </w:numPr>
        <w:kinsoku/>
        <w:wordWrap/>
        <w:overflowPunct/>
        <w:topLinePunct w:val="0"/>
        <w:bidi w:val="0"/>
        <w:snapToGrid/>
        <w:spacing w:line="360" w:lineRule="exact"/>
        <w:ind w:firstLineChars="0"/>
        <w:jc w:val="left"/>
        <w:textAlignment w:val="auto"/>
        <w:rPr>
          <w:rFonts w:ascii="仿宋" w:hAnsi="仿宋" w:eastAsia="仿宋"/>
          <w:sz w:val="24"/>
        </w:rPr>
      </w:pPr>
      <w:r>
        <w:rPr>
          <w:rFonts w:hint="eastAsia" w:ascii="仿宋" w:hAnsi="仿宋" w:eastAsia="仿宋"/>
          <w:sz w:val="24"/>
        </w:rPr>
        <w:t>项目中遇到埋地和腐蚀区域的需要对管道做防腐。</w:t>
      </w:r>
    </w:p>
    <w:p>
      <w:pPr>
        <w:pStyle w:val="6"/>
        <w:keepNext w:val="0"/>
        <w:keepLines w:val="0"/>
        <w:pageBreakBefore w:val="0"/>
        <w:widowControl w:val="0"/>
        <w:numPr>
          <w:ilvl w:val="0"/>
          <w:numId w:val="3"/>
        </w:numPr>
        <w:kinsoku/>
        <w:wordWrap/>
        <w:overflowPunct/>
        <w:topLinePunct w:val="0"/>
        <w:bidi w:val="0"/>
        <w:snapToGrid/>
        <w:spacing w:line="360" w:lineRule="exact"/>
        <w:ind w:firstLineChars="0"/>
        <w:jc w:val="left"/>
        <w:textAlignment w:val="auto"/>
        <w:rPr>
          <w:rFonts w:ascii="仿宋" w:hAnsi="仿宋" w:eastAsia="仿宋"/>
          <w:sz w:val="24"/>
        </w:rPr>
      </w:pPr>
      <w:r>
        <w:rPr>
          <w:rFonts w:hint="eastAsia" w:ascii="仿宋" w:hAnsi="仿宋" w:eastAsia="仿宋"/>
          <w:sz w:val="24"/>
        </w:rPr>
        <w:t>严格按照自贡市质监局现行规范和法规要求执行，项目中涉及到的相关报备和审批及特种设备报检手续和费用全部纳入该技术方案内包干。</w:t>
      </w:r>
    </w:p>
    <w:p>
      <w:pPr>
        <w:pStyle w:val="6"/>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exact"/>
        <w:ind w:right="185" w:firstLineChars="0"/>
        <w:jc w:val="left"/>
        <w:textAlignment w:val="auto"/>
        <w:rPr>
          <w:rFonts w:ascii="仿宋" w:hAnsi="仿宋" w:eastAsia="仿宋"/>
        </w:rPr>
      </w:pPr>
      <w:r>
        <w:rPr>
          <w:rFonts w:hint="eastAsia" w:ascii="仿宋" w:hAnsi="仿宋" w:eastAsia="仿宋"/>
          <w:sz w:val="24"/>
        </w:rPr>
        <w:t>施工人员的资质必须提供合格有效的原件审核和上交盖鲜章的复印证件。</w:t>
      </w:r>
    </w:p>
    <w:p>
      <w:pPr>
        <w:pStyle w:val="6"/>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exact"/>
        <w:ind w:right="185" w:firstLineChars="0"/>
        <w:jc w:val="left"/>
        <w:textAlignment w:val="auto"/>
        <w:rPr>
          <w:rFonts w:ascii="仿宋" w:hAnsi="仿宋" w:eastAsia="仿宋"/>
        </w:rPr>
      </w:pPr>
      <w:r>
        <w:rPr>
          <w:rFonts w:hint="eastAsia" w:ascii="仿宋" w:hAnsi="仿宋" w:eastAsia="仿宋"/>
          <w:sz w:val="24"/>
        </w:rPr>
        <w:t>所有燃气管道安装后需要经过燃气公司的验收合格。</w:t>
      </w:r>
    </w:p>
    <w:p>
      <w:pPr>
        <w:numPr>
          <w:ilvl w:val="0"/>
          <w:numId w:val="4"/>
        </w:numPr>
        <w:autoSpaceDE w:val="0"/>
        <w:autoSpaceDN w:val="0"/>
        <w:adjustRightInd w:val="0"/>
        <w:spacing w:line="480" w:lineRule="auto"/>
        <w:ind w:right="185"/>
        <w:jc w:val="center"/>
        <w:rPr>
          <w:rFonts w:ascii="仿宋" w:hAnsi="仿宋" w:eastAsia="仿宋"/>
          <w:b/>
          <w:bCs/>
          <w:sz w:val="28"/>
          <w:szCs w:val="28"/>
        </w:rPr>
      </w:pPr>
      <w:r>
        <w:rPr>
          <w:rFonts w:hint="eastAsia" w:ascii="仿宋" w:hAnsi="仿宋" w:eastAsia="仿宋"/>
        </w:rPr>
        <w:t xml:space="preserve"> </w:t>
      </w:r>
      <w:r>
        <w:rPr>
          <w:rFonts w:hint="eastAsia" w:ascii="仿宋" w:hAnsi="仿宋" w:eastAsia="仿宋"/>
          <w:b/>
          <w:bCs/>
          <w:sz w:val="28"/>
          <w:szCs w:val="28"/>
        </w:rPr>
        <w:t>项目施工安全违约责任</w:t>
      </w:r>
    </w:p>
    <w:p>
      <w:pPr>
        <w:pStyle w:val="7"/>
        <w:keepNext w:val="0"/>
        <w:keepLines w:val="0"/>
        <w:pageBreakBefore w:val="0"/>
        <w:widowControl w:val="0"/>
        <w:kinsoku/>
        <w:wordWrap/>
        <w:overflowPunct/>
        <w:topLinePunct w:val="0"/>
        <w:bidi w:val="0"/>
        <w:snapToGrid/>
        <w:spacing w:line="360" w:lineRule="exact"/>
        <w:textAlignment w:val="auto"/>
        <w:rPr>
          <w:rFonts w:ascii="仿宋" w:hAnsi="仿宋" w:eastAsia="仿宋"/>
          <w:sz w:val="24"/>
        </w:rPr>
      </w:pPr>
      <w:r>
        <w:rPr>
          <w:rFonts w:hint="eastAsia" w:ascii="仿宋" w:hAnsi="仿宋" w:eastAsia="仿宋"/>
          <w:sz w:val="24"/>
        </w:rPr>
        <w:t>1 、乙方进院区施工前需提前进行工作安全分析，分析本项工程可能出现的安全事故风险源，并采取相应的预防措施；由于承包人管理不善或因职工过失等承包人原因造成伤亡（包括他人）事故和财产损失的，承包人负全部责任。，</w:t>
      </w:r>
    </w:p>
    <w:p>
      <w:pPr>
        <w:pStyle w:val="7"/>
        <w:keepNext w:val="0"/>
        <w:keepLines w:val="0"/>
        <w:pageBreakBefore w:val="0"/>
        <w:widowControl w:val="0"/>
        <w:kinsoku/>
        <w:wordWrap/>
        <w:overflowPunct/>
        <w:topLinePunct w:val="0"/>
        <w:bidi w:val="0"/>
        <w:snapToGrid/>
        <w:spacing w:line="360" w:lineRule="exact"/>
        <w:textAlignment w:val="auto"/>
        <w:rPr>
          <w:rFonts w:ascii="仿宋" w:hAnsi="仿宋" w:eastAsia="仿宋"/>
          <w:sz w:val="24"/>
        </w:rPr>
      </w:pPr>
      <w:r>
        <w:rPr>
          <w:rFonts w:hint="eastAsia" w:ascii="仿宋" w:hAnsi="仿宋" w:eastAsia="仿宋"/>
          <w:sz w:val="24"/>
        </w:rPr>
        <w:t>2、 人员出入院区需符合甲方出入规定，并配合保安人员检查，拒不配合检查人员甲方有权禁止该人员出入院，并视情节按院区安全管理规定执行考核。</w:t>
      </w:r>
    </w:p>
    <w:p>
      <w:pPr>
        <w:pStyle w:val="7"/>
        <w:keepNext w:val="0"/>
        <w:keepLines w:val="0"/>
        <w:pageBreakBefore w:val="0"/>
        <w:widowControl w:val="0"/>
        <w:kinsoku/>
        <w:wordWrap/>
        <w:overflowPunct/>
        <w:topLinePunct w:val="0"/>
        <w:bidi w:val="0"/>
        <w:snapToGrid/>
        <w:spacing w:line="360" w:lineRule="exact"/>
        <w:textAlignment w:val="auto"/>
        <w:rPr>
          <w:rFonts w:ascii="仿宋" w:hAnsi="仿宋" w:eastAsia="仿宋"/>
          <w:sz w:val="24"/>
        </w:rPr>
      </w:pPr>
      <w:r>
        <w:rPr>
          <w:rFonts w:hint="eastAsia" w:ascii="仿宋" w:hAnsi="仿宋" w:eastAsia="仿宋"/>
          <w:sz w:val="24"/>
        </w:rPr>
        <w:t>3、承包人违反发包人相关管理制度（动火安全管理规定、高空作业管理规定等），发包人有权按该制度对承包人进行考核。</w:t>
      </w:r>
    </w:p>
    <w:p>
      <w:pPr>
        <w:pStyle w:val="7"/>
        <w:keepNext w:val="0"/>
        <w:keepLines w:val="0"/>
        <w:pageBreakBefore w:val="0"/>
        <w:widowControl w:val="0"/>
        <w:kinsoku/>
        <w:wordWrap/>
        <w:overflowPunct/>
        <w:topLinePunct w:val="0"/>
        <w:bidi w:val="0"/>
        <w:snapToGrid/>
        <w:spacing w:line="360" w:lineRule="exact"/>
        <w:textAlignment w:val="auto"/>
        <w:rPr>
          <w:rFonts w:ascii="仿宋" w:hAnsi="仿宋" w:eastAsia="仿宋"/>
          <w:b/>
          <w:bCs/>
          <w:sz w:val="28"/>
          <w:szCs w:val="28"/>
        </w:rPr>
      </w:pPr>
      <w:r>
        <w:rPr>
          <w:rFonts w:hint="eastAsia" w:ascii="仿宋" w:hAnsi="仿宋" w:eastAsia="仿宋"/>
          <w:sz w:val="24"/>
        </w:rPr>
        <w:t>4、施工期内若发生承包人原因导致的安全事故，则视情节轻重扣罚结算价的2%~5%，同时拥有进一步追偿损失的权利。</w:t>
      </w:r>
    </w:p>
    <w:p>
      <w:pPr>
        <w:autoSpaceDE w:val="0"/>
        <w:autoSpaceDN w:val="0"/>
        <w:adjustRightInd w:val="0"/>
        <w:spacing w:line="480" w:lineRule="auto"/>
        <w:ind w:right="185"/>
        <w:jc w:val="center"/>
        <w:rPr>
          <w:rFonts w:ascii="仿宋" w:hAnsi="仿宋" w:eastAsia="仿宋"/>
          <w:b/>
          <w:bCs/>
          <w:sz w:val="28"/>
          <w:szCs w:val="28"/>
          <w:highlight w:val="none"/>
        </w:rPr>
      </w:pPr>
      <w:r>
        <w:rPr>
          <w:rFonts w:hint="eastAsia" w:ascii="仿宋" w:hAnsi="仿宋" w:eastAsia="仿宋"/>
          <w:b/>
          <w:bCs/>
          <w:sz w:val="28"/>
          <w:szCs w:val="28"/>
          <w:highlight w:val="none"/>
        </w:rPr>
        <w:t>十</w:t>
      </w:r>
      <w:r>
        <w:rPr>
          <w:rFonts w:hint="eastAsia" w:ascii="仿宋" w:hAnsi="仿宋" w:eastAsia="仿宋"/>
          <w:b/>
          <w:bCs/>
          <w:sz w:val="28"/>
          <w:szCs w:val="28"/>
          <w:highlight w:val="none"/>
          <w:lang w:eastAsia="zh-CN"/>
        </w:rPr>
        <w:t>一</w:t>
      </w:r>
      <w:r>
        <w:rPr>
          <w:rFonts w:hint="eastAsia" w:ascii="仿宋" w:hAnsi="仿宋" w:eastAsia="仿宋"/>
          <w:b/>
          <w:bCs/>
          <w:sz w:val="28"/>
          <w:szCs w:val="28"/>
          <w:highlight w:val="none"/>
        </w:rPr>
        <w:t>、其他违约责任</w:t>
      </w:r>
    </w:p>
    <w:p>
      <w:pPr>
        <w:pStyle w:val="7"/>
        <w:keepNext w:val="0"/>
        <w:keepLines w:val="0"/>
        <w:pageBreakBefore w:val="0"/>
        <w:widowControl w:val="0"/>
        <w:kinsoku/>
        <w:wordWrap/>
        <w:overflowPunct/>
        <w:topLinePunct w:val="0"/>
        <w:bidi w:val="0"/>
        <w:snapToGrid/>
        <w:spacing w:line="360" w:lineRule="exact"/>
        <w:textAlignment w:val="auto"/>
        <w:rPr>
          <w:rFonts w:ascii="仿宋" w:hAnsi="仿宋" w:eastAsia="仿宋"/>
          <w:sz w:val="24"/>
        </w:rPr>
      </w:pPr>
      <w:r>
        <w:rPr>
          <w:rFonts w:hint="eastAsia" w:ascii="仿宋" w:hAnsi="仿宋" w:eastAsia="仿宋"/>
          <w:sz w:val="24"/>
        </w:rPr>
        <w:t>1、如乙方未按照</w:t>
      </w:r>
      <w:r>
        <w:rPr>
          <w:rFonts w:hint="eastAsia" w:ascii="仿宋" w:hAnsi="仿宋" w:eastAsia="仿宋"/>
          <w:sz w:val="24"/>
          <w:lang w:eastAsia="zh-CN"/>
        </w:rPr>
        <w:t>相关</w:t>
      </w:r>
      <w:r>
        <w:rPr>
          <w:rFonts w:hint="eastAsia" w:ascii="仿宋" w:hAnsi="仿宋" w:eastAsia="仿宋"/>
          <w:sz w:val="24"/>
        </w:rPr>
        <w:t>规定实施的，经甲方提出整改通知仍不整改的，视情节轻重，赔偿违约金500元~2,000元；如发生打架斗殴事件，每发生一次并且无论责任是谁，须赔偿违约金10,000元，违约金直接从项目款中扣除。</w:t>
      </w:r>
    </w:p>
    <w:p>
      <w:pPr>
        <w:pStyle w:val="7"/>
        <w:keepNext w:val="0"/>
        <w:keepLines w:val="0"/>
        <w:pageBreakBefore w:val="0"/>
        <w:widowControl w:val="0"/>
        <w:kinsoku/>
        <w:wordWrap/>
        <w:overflowPunct/>
        <w:topLinePunct w:val="0"/>
        <w:bidi w:val="0"/>
        <w:snapToGrid/>
        <w:spacing w:line="360" w:lineRule="exact"/>
        <w:textAlignment w:val="auto"/>
        <w:rPr>
          <w:rFonts w:ascii="仿宋" w:hAnsi="仿宋" w:eastAsia="仿宋"/>
          <w:sz w:val="30"/>
          <w:szCs w:val="30"/>
        </w:rPr>
      </w:pPr>
      <w:r>
        <w:rPr>
          <w:rFonts w:hint="eastAsia" w:ascii="仿宋" w:hAnsi="仿宋" w:eastAsia="仿宋"/>
          <w:sz w:val="24"/>
        </w:rPr>
        <w:t>2、乙方安全文明施工不规范，经监理公司或甲方提出整改通知仍不整改的，每次赔偿违约金2,000元，违约金直接从项目款中扣除。</w:t>
      </w:r>
    </w:p>
    <w:sectPr>
      <w:pgSz w:w="11906" w:h="16838"/>
      <w:pgMar w:top="1440" w:right="1080" w:bottom="1440" w:left="1080" w:header="45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Arial Narrow">
    <w:panose1 w:val="020B0506020202030204"/>
    <w:charset w:val="00"/>
    <w:family w:val="auto"/>
    <w:pitch w:val="default"/>
    <w:sig w:usb0="00000287" w:usb1="00000000" w:usb2="00000000" w:usb3="00000000" w:csb0="2000009F" w:csb1="DFD70000"/>
  </w:font>
  <w:font w:name="Arial Narrow">
    <w:panose1 w:val="020B0506020202030204"/>
    <w:charset w:val="01"/>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4CFD88"/>
    <w:multiLevelType w:val="singleLevel"/>
    <w:tmpl w:val="B74CFD88"/>
    <w:lvl w:ilvl="0" w:tentative="0">
      <w:start w:val="5"/>
      <w:numFmt w:val="chineseCounting"/>
      <w:suff w:val="nothing"/>
      <w:lvlText w:val="%1、"/>
      <w:lvlJc w:val="left"/>
      <w:rPr>
        <w:rFonts w:hint="eastAsia"/>
      </w:rPr>
    </w:lvl>
  </w:abstractNum>
  <w:abstractNum w:abstractNumId="1">
    <w:nsid w:val="3EAF0F49"/>
    <w:multiLevelType w:val="multilevel"/>
    <w:tmpl w:val="3EAF0F4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9B38C5"/>
    <w:multiLevelType w:val="multilevel"/>
    <w:tmpl w:val="5A9B38C5"/>
    <w:lvl w:ilvl="0" w:tentative="0">
      <w:start w:val="1"/>
      <w:numFmt w:val="decimal"/>
      <w:lvlText w:val="%1、"/>
      <w:lvlJc w:val="left"/>
      <w:pPr>
        <w:ind w:left="360" w:hanging="360"/>
      </w:pPr>
      <w:rPr>
        <w:rFonts w:hint="default" w:ascii="仿宋" w:hAnsi="仿宋" w:eastAsia="仿宋"/>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6059A29B"/>
    <w:multiLevelType w:val="singleLevel"/>
    <w:tmpl w:val="6059A29B"/>
    <w:lvl w:ilvl="0" w:tentative="0">
      <w:start w:val="10"/>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01"/>
    <w:rsid w:val="000F22CB"/>
    <w:rsid w:val="00103BA9"/>
    <w:rsid w:val="001E0687"/>
    <w:rsid w:val="001E0822"/>
    <w:rsid w:val="00331ADE"/>
    <w:rsid w:val="008D4FAA"/>
    <w:rsid w:val="00C5459D"/>
    <w:rsid w:val="00CD0BFC"/>
    <w:rsid w:val="00D54874"/>
    <w:rsid w:val="00DB30B9"/>
    <w:rsid w:val="00F45301"/>
    <w:rsid w:val="00FF230F"/>
    <w:rsid w:val="01726FEF"/>
    <w:rsid w:val="02E90121"/>
    <w:rsid w:val="04845678"/>
    <w:rsid w:val="07832762"/>
    <w:rsid w:val="0A3245CA"/>
    <w:rsid w:val="0ACC0F45"/>
    <w:rsid w:val="0BBB664F"/>
    <w:rsid w:val="0D0B13CC"/>
    <w:rsid w:val="0E077F9A"/>
    <w:rsid w:val="116B779F"/>
    <w:rsid w:val="1508348E"/>
    <w:rsid w:val="19AD57B1"/>
    <w:rsid w:val="19D54B04"/>
    <w:rsid w:val="1A287250"/>
    <w:rsid w:val="1A3B5015"/>
    <w:rsid w:val="1A5E1D51"/>
    <w:rsid w:val="1C117199"/>
    <w:rsid w:val="1C3773D9"/>
    <w:rsid w:val="20BB20C0"/>
    <w:rsid w:val="23B83F80"/>
    <w:rsid w:val="24F35FAE"/>
    <w:rsid w:val="25610EB7"/>
    <w:rsid w:val="27AE5E26"/>
    <w:rsid w:val="2E142328"/>
    <w:rsid w:val="2EC333C5"/>
    <w:rsid w:val="2EEA3285"/>
    <w:rsid w:val="3103784C"/>
    <w:rsid w:val="37440A93"/>
    <w:rsid w:val="385641FC"/>
    <w:rsid w:val="3AAC46D0"/>
    <w:rsid w:val="3B8159AD"/>
    <w:rsid w:val="3BA4483F"/>
    <w:rsid w:val="3C8342D6"/>
    <w:rsid w:val="40C43051"/>
    <w:rsid w:val="426F0B0E"/>
    <w:rsid w:val="428F7D3E"/>
    <w:rsid w:val="483002AB"/>
    <w:rsid w:val="48CA364C"/>
    <w:rsid w:val="4A570604"/>
    <w:rsid w:val="4ABC3BAC"/>
    <w:rsid w:val="4AC047B0"/>
    <w:rsid w:val="4B94388F"/>
    <w:rsid w:val="4C824411"/>
    <w:rsid w:val="4CBA3672"/>
    <w:rsid w:val="4E79234E"/>
    <w:rsid w:val="527E0EE4"/>
    <w:rsid w:val="53BB66ED"/>
    <w:rsid w:val="564E44A8"/>
    <w:rsid w:val="5BE80ED6"/>
    <w:rsid w:val="5E103D5E"/>
    <w:rsid w:val="5E1075E1"/>
    <w:rsid w:val="5EC41294"/>
    <w:rsid w:val="5F3E69CE"/>
    <w:rsid w:val="61495B2A"/>
    <w:rsid w:val="6A19339F"/>
    <w:rsid w:val="6B3D1E7D"/>
    <w:rsid w:val="6C37119B"/>
    <w:rsid w:val="6D000BE4"/>
    <w:rsid w:val="74920FD0"/>
    <w:rsid w:val="76BB3AD8"/>
    <w:rsid w:val="7B0D60A5"/>
    <w:rsid w:val="7C3206D2"/>
    <w:rsid w:val="7CA372E3"/>
    <w:rsid w:val="7EC47386"/>
    <w:rsid w:val="7F4469DB"/>
    <w:rsid w:val="7F843F41"/>
    <w:rsid w:val="7FA26D74"/>
    <w:rsid w:val="7FBD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List Bullet"/>
    <w:basedOn w:val="1"/>
    <w:qFormat/>
    <w:uiPriority w:val="0"/>
    <w:pPr>
      <w:spacing w:line="500" w:lineRule="exact"/>
      <w:ind w:firstLine="545" w:firstLineChars="227"/>
      <w:jc w:val="left"/>
    </w:pPr>
    <w:rPr>
      <w:rFonts w:ascii="宋体" w:hAnsi="宋体"/>
      <w:sz w:val="24"/>
      <w:szCs w:val="20"/>
    </w:rPr>
  </w:style>
  <w:style w:type="paragraph" w:customStyle="1" w:styleId="5">
    <w:name w:val="列出段落1"/>
    <w:basedOn w:val="1"/>
    <w:qFormat/>
    <w:uiPriority w:val="34"/>
    <w:pPr>
      <w:ind w:firstLine="420" w:firstLineChars="200"/>
    </w:pPr>
    <w:rPr>
      <w:rFonts w:ascii="Calibri" w:hAnsi="Calibri"/>
      <w:szCs w:val="22"/>
    </w:rPr>
  </w:style>
  <w:style w:type="paragraph" w:styleId="6">
    <w:name w:val="List Paragraph"/>
    <w:basedOn w:val="1"/>
    <w:qFormat/>
    <w:uiPriority w:val="99"/>
    <w:pPr>
      <w:ind w:firstLine="420" w:firstLineChars="200"/>
    </w:pPr>
  </w:style>
  <w:style w:type="paragraph" w:customStyle="1" w:styleId="7">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w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1055</Words>
  <Characters>6020</Characters>
  <Lines>50</Lines>
  <Paragraphs>14</Paragraphs>
  <TotalTime>73</TotalTime>
  <ScaleCrop>false</ScaleCrop>
  <LinksUpToDate>false</LinksUpToDate>
  <CharactersWithSpaces>7061</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2021-03-26T06:47:00Z</dcterms:created>
  <dc:creator>Administrator</dc:creator>
  <cp:lastModifiedBy>Administrator</cp:lastModifiedBy>
  <cp:lastPrinted>2021-05-19T03:21:30Z</cp:lastPrinted>
  <dcterms:modified xsi:type="dcterms:W3CDTF">2021-05-19T03:23:45Z</dcterms:modified>
  <dc:title>自贡市第四人民医院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