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  <w:t>报价表</w:t>
      </w:r>
    </w:p>
    <w:tbl>
      <w:tblPr>
        <w:tblStyle w:val="5"/>
        <w:tblpPr w:leftFromText="180" w:rightFromText="180" w:vertAnchor="text" w:horzAnchor="page" w:tblpX="1705" w:tblpY="616"/>
        <w:tblOverlap w:val="never"/>
        <w:tblW w:w="9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7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自贡市精神卫生中心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eastAsia="zh-CN"/>
              </w:rPr>
              <w:t xml:space="preserve">污水处理消毒药剂（次氯酸钠）招标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采购项目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控制价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1350.00元/吨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壹仟叁佰伍拾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人民币：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元（人民币大写：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人民币：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元（人民币大写：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元）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注：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报价应是包含设备以及安装的总报价。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2、本表内任何有选择或可调整的报价将按无效响应处理,最终报价保留到个位数。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3、报价一览表内填写的最终报价将作为本次采购唯一的最终报价依据。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4、报价一览表作为报价文件单独封装，用于现场唱标；供应商只能填写第一轮报价，须将最终报价处留白，以备采购现场最终报价时现场填写。 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供应商名称：        （公章）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法定代表人或授权代表（签字）：</w:t>
      </w:r>
    </w:p>
    <w:p>
      <w:pPr>
        <w:spacing w:line="360" w:lineRule="auto"/>
        <w:ind w:firstLine="3920" w:firstLineChars="1400"/>
        <w:jc w:val="both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日   期：</w:t>
      </w: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Narrow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 Narrow">
    <w:panose1 w:val="020B0506020202030204"/>
    <w:charset w:val="00"/>
    <w:family w:val="auto"/>
    <w:pitch w:val="default"/>
    <w:sig w:usb0="00000287" w:usb1="00000000" w:usb2="00000000" w:usb3="00000000" w:csb0="2000009F" w:csb1="DFD70000"/>
  </w:font>
  <w:font w:name="Arial Narrow">
    <w:panose1 w:val="020B0506020202030204"/>
    <w:charset w:val="01"/>
    <w:family w:val="swiss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D503F"/>
    <w:rsid w:val="17807A29"/>
    <w:rsid w:val="2345233E"/>
    <w:rsid w:val="747D50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  <w:ind w:firstLine="5632"/>
    </w:pPr>
  </w:style>
  <w:style w:type="paragraph" w:customStyle="1" w:styleId="3">
    <w:name w:val="正文首行缩进1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font21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0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2021-07-20T00:41:00Z</dcterms:created>
  <dc:creator>Administrator</dc:creator>
  <cp:lastModifiedBy>Administrator</cp:lastModifiedBy>
  <dcterms:modified xsi:type="dcterms:W3CDTF">2021-11-22T00:38:50Z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