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AD41D8"/>
    <w:p w14:paraId="2C746FF3">
      <w:r>
        <w:rPr>
          <w:rFonts w:hint="eastAsia"/>
        </w:rPr>
        <w:drawing>
          <wp:inline distT="0" distB="0" distL="114300" distR="114300">
            <wp:extent cx="3699510" cy="2081530"/>
            <wp:effectExtent l="0" t="0" r="15240" b="13970"/>
            <wp:docPr id="2" name="图片 2" descr="eeaae98d8f58deb64d3614ebbf16f7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eeaae98d8f58deb64d3614ebbf16f7e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99510" cy="2081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颜色可选</w:t>
      </w:r>
    </w:p>
    <w:p w14:paraId="48E33DEB"/>
    <w:p w14:paraId="21DF7715"/>
    <w:p w14:paraId="606811EE">
      <w:pPr>
        <w:widowControl/>
        <w:rPr>
          <w:rFonts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规格：配液工作台（二治）(具体款式以临床需求为准)</w:t>
      </w:r>
    </w:p>
    <w:p w14:paraId="5A9ECE63">
      <w:pPr>
        <w:widowControl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b/>
          <w:sz w:val="24"/>
        </w:rPr>
        <w:t>1. 整体材质</w:t>
      </w:r>
    </w:p>
    <w:p w14:paraId="30C3A169">
      <w:pPr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sz w:val="24"/>
        </w:rPr>
        <w:t>（1）所有柜体钢质部分需全部采用厚度为1.</w:t>
      </w:r>
      <w:r>
        <w:rPr>
          <w:rFonts w:hint="eastAsia" w:ascii="宋体" w:hAnsi="宋体" w:eastAsia="宋体" w:cs="宋体"/>
          <w:sz w:val="24"/>
          <w:lang w:val="en-US" w:eastAsia="zh-CN"/>
        </w:rPr>
        <w:t>0</w:t>
      </w:r>
      <w:r>
        <w:rPr>
          <w:rFonts w:hint="eastAsia" w:ascii="宋体" w:hAnsi="宋体" w:cs="宋体"/>
          <w:sz w:val="24"/>
        </w:rPr>
        <w:t>mm的电解钢板制作。</w:t>
      </w:r>
    </w:p>
    <w:p w14:paraId="3A0DB1A3">
      <w:pPr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（2）电解钢板依据GB/T 5213-2019《冷轧低碳钢板及钢带》、GB/T 4336-2016《碳素钢和中低合金钢 多元素含量的测定 火花放电原子发射光谱法（常规法）》、GB/T 228.1-2010《金属材料 拉伸试验 第1部分：室温试验方法》标准要求，应满足①成分含量：C</w:t>
      </w:r>
      <w:r>
        <w:rPr>
          <w:rFonts w:hint="eastAsia" w:ascii="宋体" w:hAnsi="宋体" w:cs="宋体"/>
          <w:color w:val="000000"/>
          <w:sz w:val="24"/>
        </w:rPr>
        <w:t>≤0.12%、Mn≤0.60%、P≤0.030%、S≤0.030%、Als≥0.020%；</w:t>
      </w:r>
      <w:r>
        <w:rPr>
          <w:rFonts w:hint="eastAsia" w:ascii="宋体" w:hAnsi="宋体" w:cs="宋体"/>
          <w:sz w:val="24"/>
        </w:rPr>
        <w:t>②</w:t>
      </w:r>
      <w:r>
        <w:rPr>
          <w:rFonts w:hint="eastAsia" w:ascii="宋体" w:hAnsi="宋体" w:cs="宋体"/>
          <w:color w:val="000000"/>
          <w:sz w:val="24"/>
        </w:rPr>
        <w:t>力学性能：屈服强度≤280MPa、抗拉强度：270～410 MPa、断后伸长率A≥28%；</w:t>
      </w:r>
      <w:r>
        <w:rPr>
          <w:rFonts w:hint="eastAsia" w:ascii="宋体" w:hAnsi="宋体" w:cs="宋体"/>
          <w:sz w:val="24"/>
        </w:rPr>
        <w:t>③镀层重量（双面）≥40g/m</w:t>
      </w:r>
      <w:r>
        <w:rPr>
          <w:rFonts w:hint="eastAsia" w:ascii="宋体" w:hAnsi="宋体" w:cs="宋体"/>
          <w:sz w:val="24"/>
          <w:vertAlign w:val="superscript"/>
        </w:rPr>
        <w:t>2</w:t>
      </w:r>
      <w:r>
        <w:rPr>
          <w:rFonts w:hint="eastAsia" w:ascii="宋体" w:hAnsi="宋体" w:cs="宋体"/>
          <w:sz w:val="24"/>
        </w:rPr>
        <w:t>。（3）▲电解钢板依据GB/T 10125-2012《人造气氛腐蚀试验 盐雾试验》、GB/T 6461-2002《金属基体上金属和其它无机覆盖层 经腐蚀试验后的试样和试件的评级》标准，应满足乙酸盐雾试验200h，耐腐蚀等级达到10级。</w:t>
      </w:r>
    </w:p>
    <w:p w14:paraId="57B80E1C">
      <w:pPr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2. 钢板喷涂</w:t>
      </w:r>
    </w:p>
    <w:p w14:paraId="47610AB6">
      <w:pPr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1）电解钢板表面需采用环保室内型环氧树脂静电粉末喷涂，涂层厚度应达到105-143um，铅笔硬度应达到3H，涂层附着力应达到0级，使喷塑涂层耐腐蚀、耐冲击性能高于国家标准。表面涂层具有环保、防锈、耐腐蚀、绝缘性高、附着力强、耐</w:t>
      </w:r>
      <w:r>
        <w:rPr>
          <w:rFonts w:hint="eastAsia" w:ascii="宋体" w:hAnsi="宋体" w:cs="宋体"/>
          <w:color w:val="000000"/>
          <w:sz w:val="24"/>
        </w:rPr>
        <w:t>摩擦等技术特点</w:t>
      </w:r>
      <w:r>
        <w:rPr>
          <w:rFonts w:hint="eastAsia" w:ascii="宋体" w:hAnsi="宋体" w:cs="宋体"/>
          <w:sz w:val="24"/>
        </w:rPr>
        <w:t>，涂层颜色中标后由业主选择确定，且此项调整不得变更</w:t>
      </w:r>
      <w:r>
        <w:rPr>
          <w:rFonts w:hint="eastAsia" w:ascii="宋体" w:hAnsi="宋体" w:eastAsia="宋体" w:cs="宋体"/>
          <w:sz w:val="24"/>
          <w:lang w:val="en-US" w:eastAsia="zh-CN"/>
        </w:rPr>
        <w:t>报价</w:t>
      </w:r>
      <w:r>
        <w:rPr>
          <w:rFonts w:hint="eastAsia" w:ascii="宋体" w:hAnsi="宋体" w:cs="宋体"/>
          <w:sz w:val="24"/>
        </w:rPr>
        <w:t>。</w:t>
      </w:r>
    </w:p>
    <w:p w14:paraId="19BAB4DB">
      <w:pPr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（2）▲电解钢板涂层依据GB/T 13448-2019《彩色涂层钢板及钢带试验方法》标准要求，①划格试验为0级；②杯突试验试样无开裂和脱落现象；③耐水浸泡试验试样无气泡、开裂、脱落现象，无失光，无变色。④氙灯加速老化试验240h试样无变色、失光、粉化等现象；⑤紫外灯加速老化试验240h试样无变色、失光、粉化等现象。⑥耐有机溶剂试验在规定的擦拭次数后，试样涂层未破损；⑦耐干热试验试样无失光和变色等现象。</w:t>
      </w:r>
    </w:p>
    <w:p w14:paraId="749E56A6">
      <w:pPr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（3）▲电解钢板涂层依据GB/T 10125-2012《人造气氛腐蚀试验 盐雾试验》标准要求，应满足800小时中性盐雾试验和100小时乙酸盐雾试验无锈蚀要求。</w:t>
      </w:r>
    </w:p>
    <w:p w14:paraId="32FE2E2B">
      <w:pPr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（4）▲根据医院的院感要求，电解钢板喷涂层应满足GB/T 21866-2008《抗菌涂料（漆膜）抗菌性测定法和抗菌效果》抗细菌耐久性能Ⅰ级的要求，对大肠杆菌、金黄色葡萄球菌、肺炎克雷伯氏菌、铜绿假单胞菌的抗细菌率≥95.00％，抗白色念珠球菌性能Ⅰ级≥99.00。</w:t>
      </w:r>
    </w:p>
    <w:p w14:paraId="15C5F662">
      <w:pPr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（5）根据医院的院感要求，电解钢板喷涂层应满足GB/T 1741-2007《漆膜耐霉菌性测定法》耐黑曲霉、黄曲霉、球毛壳霉、腊叶芽枝霉、宛氏拟青霉、桔青霉、绿色木霉、出芽短梗霉达到0级。</w:t>
      </w:r>
    </w:p>
    <w:p w14:paraId="60970427">
      <w:pPr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（6）▲根据《医疗机构消毒技术规范》和GB/T 21551.1-2008要求，电解钢板喷涂层应满足抗菌材料溶出性抑菌环直径≤5mm、多次皮肤刺激无反应、无致敏现象。</w:t>
      </w:r>
    </w:p>
    <w:p w14:paraId="51B96353">
      <w:pPr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（7）▲喷涂粉末依据HG/T 2006-2006《热固性粉末涂料》、GB/T 35602-2017《绿色产品评价 涂料》标准要求，应满足①色泽均匀，无异物，呈松散粉末状，②涂膜外观正常，③硬度（擦伤）≥H，④附着力≤1级，⑤耐冲击性/cm光泽（60°）≤60：50cm，⑥弯曲试验光泽（60°）≤60：2mm，⑦耐碱性（5%NaOH）：168h无异常，⑧耐酸性（3%HCl）：240h无异常，⑨耐湿热性：500h无异常，⑩耐盐雾性：500h，划线处：单向锈蚀≤2.0mm ，未划线区：无异常，⑪可溶性重金属含量：可溶性铅（Pb）≤90mg/kg；可溶性镉（Cd）≤75mg/kg；可溶性铬（Cr）≤60mg/kg；可溶性汞（Hg）≤60mg/kg, ⑫耐沸水性：2h无异常, ⑬重金属含量：铅（Pb）≤20mg/kg；镉（Cd）≤20mg/kg；六价铬（Cr6+）≤20mg/kg；汞（Hg）≤20mg/kg；砷（As）≤20mg/kg；钡（Ba）≤1000mg/kg；硒（Se）≤20mg/kg；锑（Sb）≤20mg/kg；钴（Co）≤20mg/kg, ⑭光泽度要求⑮耐磨性要求⑯漆膜厚度要求。</w:t>
      </w:r>
    </w:p>
    <w:p w14:paraId="01D052A4">
      <w:pPr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3. 台面材质</w:t>
      </w:r>
    </w:p>
    <w:p w14:paraId="41554313">
      <w:pPr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台面全部采用</w:t>
      </w:r>
      <w:r>
        <w:rPr>
          <w:rFonts w:hint="eastAsia" w:ascii="宋体" w:hAnsi="宋体" w:eastAsia="宋体" w:cs="宋体"/>
          <w:spacing w:val="-2"/>
          <w:sz w:val="24"/>
        </w:rPr>
        <w:t>微晶石材料</w:t>
      </w:r>
      <w:r>
        <w:rPr>
          <w:rFonts w:hint="eastAsia" w:ascii="宋体" w:hAnsi="宋体" w:eastAsia="宋体" w:cs="宋体"/>
          <w:spacing w:val="-3"/>
          <w:sz w:val="24"/>
        </w:rPr>
        <w:t>,</w:t>
      </w:r>
      <w:r>
        <w:rPr>
          <w:rFonts w:hint="eastAsia" w:ascii="宋体" w:hAnsi="宋体" w:eastAsia="宋体" w:cs="宋体"/>
          <w:spacing w:val="-2"/>
          <w:sz w:val="24"/>
        </w:rPr>
        <w:t>结构均匀，抗压性好，耐磨损。</w:t>
      </w:r>
      <w:r>
        <w:rPr>
          <w:rFonts w:hint="eastAsia" w:ascii="宋体" w:hAnsi="宋体" w:eastAsia="宋体" w:cs="宋体"/>
          <w:spacing w:val="-2"/>
          <w:sz w:val="24"/>
          <w:lang w:val="en-US" w:eastAsia="zh-CN"/>
        </w:rPr>
        <w:t>厚度≥1.2cm。</w:t>
      </w:r>
      <w:r>
        <w:rPr>
          <w:rFonts w:hint="eastAsia" w:ascii="宋体" w:hAnsi="宋体" w:eastAsia="宋体" w:cs="宋体"/>
          <w:spacing w:val="-2"/>
          <w:sz w:val="24"/>
        </w:rPr>
        <w:t>台面有效使用部分采用模具一次</w:t>
      </w:r>
      <w:r>
        <w:rPr>
          <w:rFonts w:hint="eastAsia" w:ascii="宋体" w:hAnsi="宋体" w:eastAsia="宋体" w:cs="宋体"/>
          <w:sz w:val="24"/>
        </w:rPr>
        <w:t>冲压成型，内凹台面</w:t>
      </w:r>
      <w:r>
        <w:rPr>
          <w:rFonts w:hint="eastAsia" w:ascii="宋体" w:hAnsi="宋体" w:cs="宋体"/>
          <w:sz w:val="24"/>
        </w:rPr>
        <w:t>，具备抑菌、耐污、阻燃、抗冲击、无缝拼接、不易变色等优异性能；台面颜色</w:t>
      </w:r>
      <w:r>
        <w:rPr>
          <w:rFonts w:hint="eastAsia" w:ascii="宋体" w:hAnsi="宋体" w:eastAsia="宋体" w:cs="宋体"/>
          <w:sz w:val="24"/>
          <w:lang w:val="en-US" w:eastAsia="zh-CN"/>
        </w:rPr>
        <w:t>可选</w:t>
      </w:r>
      <w:r>
        <w:rPr>
          <w:rFonts w:hint="eastAsia" w:ascii="宋体" w:hAnsi="宋体" w:cs="宋体"/>
          <w:sz w:val="24"/>
        </w:rPr>
        <w:t>。</w:t>
      </w:r>
    </w:p>
    <w:p w14:paraId="3FD90A91">
      <w:pPr>
        <w:rPr>
          <w:rFonts w:ascii="宋体" w:hAnsi="宋体" w:cs="宋体"/>
          <w:b/>
          <w:color w:val="000000"/>
          <w:sz w:val="24"/>
        </w:rPr>
      </w:pPr>
      <w:r>
        <w:rPr>
          <w:rFonts w:hint="eastAsia" w:ascii="宋体" w:hAnsi="宋体" w:cs="宋体"/>
          <w:b/>
          <w:color w:val="000000"/>
          <w:sz w:val="24"/>
        </w:rPr>
        <w:t>4</w:t>
      </w:r>
      <w:r>
        <w:rPr>
          <w:rFonts w:hint="eastAsia" w:ascii="宋体" w:hAnsi="宋体" w:cs="宋体"/>
          <w:b/>
          <w:sz w:val="24"/>
        </w:rPr>
        <w:t xml:space="preserve"> .五金</w:t>
      </w:r>
      <w:r>
        <w:rPr>
          <w:rFonts w:hint="eastAsia" w:ascii="宋体" w:hAnsi="宋体" w:cs="宋体"/>
          <w:b/>
          <w:color w:val="000000"/>
          <w:sz w:val="24"/>
        </w:rPr>
        <w:t>配件</w:t>
      </w:r>
    </w:p>
    <w:p w14:paraId="3E2BB830">
      <w:pPr>
        <w:rPr>
          <w:rFonts w:ascii="宋体" w:hAnsi="宋体" w:cs="宋体"/>
          <w:sz w:val="24"/>
        </w:rPr>
      </w:pPr>
      <w:r>
        <w:rPr>
          <w:rFonts w:hint="eastAsia" w:ascii="宋体" w:hAnsi="宋体" w:cs="宋体"/>
          <w:color w:val="000000"/>
          <w:sz w:val="24"/>
        </w:rPr>
        <w:t>（1）锁具：采用叶片转舌锁，锁体材质为锌合金，锁芯叶片为黄铜，钥匙材质为黄铜，表面常规镀光亮铬处理。锁具钥匙重复率低，具备换芯功能，锁芯具有定位功能</w:t>
      </w:r>
      <w:bookmarkStart w:id="0" w:name="_GoBack"/>
      <w:bookmarkEnd w:id="0"/>
      <w:r>
        <w:rPr>
          <w:rFonts w:hint="eastAsia" w:ascii="宋体" w:hAnsi="宋体" w:cs="宋体"/>
          <w:color w:val="000000"/>
          <w:sz w:val="24"/>
        </w:rPr>
        <w:t>；锁具依据QB/T 1621-2015(2017)《家具锁》标准要求，应满足</w:t>
      </w:r>
      <w:r>
        <w:rPr>
          <w:rFonts w:hint="eastAsia" w:ascii="宋体" w:hAnsi="宋体" w:cs="宋体"/>
          <w:sz w:val="24"/>
        </w:rPr>
        <w:t>①保密度：弹子锁、叶片锁钥匙不同牙花数（种），叶片锁6个钥匙芽花≥500；互开率（％），叶片锁6个钥匙芽花≤0.612，②牢固度：锁头固定连接静拉力，锁头直径小于20mm的，在承受140N静拉力后，应无松动；锁头固定连接扭矩，锁头直径小于20mm的，在承受1.80N.m扭矩后，应无松动；锁芯拨动扭矩，在承受0.70N.m扭矩后，应能正常使用；弹子锁、叶片锁使用寿命，锁头直径小于20mm的弹子锁、叶片锁，使用寿命应不小于10000次，③灵活度：钥匙插拔、旋转，钥匙插拔应灵活、无卡滞现象；钥匙插入锁芯旋转灵活、锁开、关无卡阻现象；钥匙拔出静拉力（N），叶片锁应不大于9；钥匙开启扭矩（N.m）不应大于0.65，④外观质量：锁头、钥匙，锁头、钥匙应平整光洁，商标字迹应清晰、端正；电镀件，电镀件外露表面应色泽均匀，不应有起泡、起层、露底等明显瑕疵；电镀件外露表面经12h的中性盐雾试验后，应达到外观评级R</w:t>
      </w:r>
      <w:r>
        <w:rPr>
          <w:rFonts w:hint="eastAsia" w:ascii="宋体" w:hAnsi="宋体" w:cs="宋体"/>
          <w:sz w:val="24"/>
          <w:vertAlign w:val="subscript"/>
        </w:rPr>
        <w:t>A</w:t>
      </w:r>
      <w:r>
        <w:rPr>
          <w:rFonts w:hint="eastAsia" w:ascii="宋体" w:hAnsi="宋体" w:cs="宋体"/>
          <w:sz w:val="24"/>
        </w:rPr>
        <w:t>6级的规定。</w:t>
      </w:r>
    </w:p>
    <w:p w14:paraId="69B123CE">
      <w:pPr>
        <w:rPr>
          <w:rFonts w:ascii="宋体" w:hAnsi="宋体" w:cs="宋体"/>
          <w:sz w:val="24"/>
        </w:rPr>
      </w:pPr>
      <w:r>
        <w:rPr>
          <w:rFonts w:hint="eastAsia" w:ascii="宋体" w:hAnsi="宋体" w:cs="宋体"/>
          <w:color w:val="000000"/>
          <w:sz w:val="24"/>
        </w:rPr>
        <w:t>（2）导轨：采用三节医用走珠滑轨，抽拉自如，抽屉内能放置30kg负载重量，导轨需在高温+50℃，低温-30℃能正常使用且不渗油，开关顺滑，双叠全拉带定位结构，防止滑出，静音效果好，使用寿命长；抽屉导轨依据QB/T 2454-2013《家具五金 抽屉导轨》标准要求，应满足</w:t>
      </w:r>
      <w:r>
        <w:rPr>
          <w:rFonts w:hint="eastAsia" w:ascii="宋体" w:hAnsi="宋体" w:cs="宋体"/>
          <w:sz w:val="24"/>
        </w:rPr>
        <w:t>①过载要求：垂直向下静荷载、水平侧向静荷载、猛关、猛开项目，②功能试验：操作力-推力、操作力-拉力、耐久性、下沉量、垂直向下静载荷、水平侧向静荷载、猛关、猛开、拉出安全性项目，③耐腐蚀要求。</w:t>
      </w:r>
    </w:p>
    <w:p w14:paraId="7D224178">
      <w:pPr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（3）铰链：采用静音阻尼缓冲铰链，</w:t>
      </w:r>
      <w:r>
        <w:rPr>
          <w:rFonts w:hint="eastAsia" w:ascii="宋体" w:hAnsi="宋体" w:cs="宋体"/>
          <w:color w:val="000000"/>
          <w:sz w:val="24"/>
        </w:rPr>
        <w:t>依据QB/T 2189-2013(2017)《家具五金 杯状暗铰链》标准要求，应满足</w:t>
      </w:r>
      <w:r>
        <w:rPr>
          <w:rFonts w:hint="eastAsia" w:ascii="宋体" w:hAnsi="宋体" w:cs="宋体"/>
          <w:sz w:val="24"/>
        </w:rPr>
        <w:t>①过载要求：垂直静荷载、水平静荷载项目，②功能试验：关闭力、打开力、下沉量、垂直静荷载、水平静荷载、耐久性项目，③耐腐蚀要求。</w:t>
      </w:r>
    </w:p>
    <w:p w14:paraId="344AAA1E">
      <w:pPr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5. 工艺要求</w:t>
      </w:r>
    </w:p>
    <w:p w14:paraId="3765F7BB">
      <w:pPr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1）钢质柜体：整体采用电阻焊接工艺，无外露焊点，钢板采用激光切割及数控折边成型，既保证了产品表面不会出现凹凸不平的焊疤，不会出现进行静电粉末喷涂时，流平不好的现象。抽屉面板、柜门处为可更换式铭牌卡槽，方便医护人员根据现场管理要求插入说明卡片。上中下柜按照人体工学原理设计，既方便护理人员的打理，同时防止灰尘的堆积，抽屉及开门的比例，都是按照日常的使用产品数量进行划分，玻璃与门框之间的大小比例，根据可观察视角进行面积大小分布。做到比例协调结构合理整体美观等效果。中柜及上下柜内都有可调节层板，无菌物品的存放空间随意调节，悬挂式小型挂钩，轻巧方便，操作灵活，中柜背板需预留强电插座孔位。</w:t>
      </w:r>
    </w:p>
    <w:p w14:paraId="57E1E345">
      <w:pPr>
        <w:autoSpaceDE w:val="0"/>
        <w:autoSpaceDN w:val="0"/>
        <w:adjustRightInd w:val="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b/>
          <w:sz w:val="24"/>
        </w:rPr>
        <w:t>6.整体性能</w:t>
      </w:r>
      <w:r>
        <w:rPr>
          <w:rFonts w:hint="eastAsia" w:ascii="宋体" w:hAnsi="宋体" w:cs="宋体"/>
          <w:sz w:val="24"/>
        </w:rPr>
        <w:t>（医用治疗柜、医用处置柜、医用药品柜、医用水槽柜应满足GB/T 3325-2017《金属家具通用技术条件》、GB/T 21866-2008《抗菌涂料（漆膜）抗菌性测定法和抗菌效果》、GB/T 1741-2007《漆膜耐霉菌性测定法》、《医疗机构消毒技术规范》）</w:t>
      </w:r>
    </w:p>
    <w:p w14:paraId="7A0CD1A3">
      <w:pPr>
        <w:autoSpaceDE w:val="0"/>
        <w:autoSpaceDN w:val="0"/>
        <w:adjustRightInd w:val="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医用治疗柜</w:t>
      </w:r>
    </w:p>
    <w:p w14:paraId="2A7FF0DA">
      <w:pPr>
        <w:autoSpaceDE w:val="0"/>
        <w:autoSpaceDN w:val="0"/>
        <w:adjustRightInd w:val="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1）金属件外观要求：①焊接件：焊接处应无脱焊、虚焊、焊穿、错位；焊接处应无夹渣、气孔、焊瘤、焊丝头、咬边，飞溅；焊接处表面波纹应均匀。②喷涂层：涂层应无漏喷、锈蚀和脱色、掉色现象；涂层应光滑均匀，色泽一致，应无流挂、疙瘩、皱皮、飞漆等缺陷。③电镀层：表面应无剥落、返锈、毛刺；表面应无烧焦、起泡、针孔、裂纹、花斑（不包括镀彩锌）和划痕。</w:t>
      </w:r>
    </w:p>
    <w:p w14:paraId="3CB5C6B8">
      <w:pPr>
        <w:autoSpaceDE w:val="0"/>
        <w:autoSpaceDN w:val="0"/>
        <w:adjustRightInd w:val="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（2）配件：家具锁锁定位到位，开启应灵活。</w:t>
      </w:r>
    </w:p>
    <w:p w14:paraId="64FE1376">
      <w:pPr>
        <w:autoSpaceDE w:val="0"/>
        <w:autoSpaceDN w:val="0"/>
        <w:adjustRightInd w:val="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3）结构安全：①活动部件间距离≤5mm或≥25mm。②抽屉等推拉构件应有防脱落装置。③人体接触或收藏物品的部位应无毛刺、刃口、棱角。④固定部位的结合应牢固无松动、无少件、透钉、漏钉（预留孔、选择孔除外）。</w:t>
      </w:r>
    </w:p>
    <w:p w14:paraId="6BC297EA">
      <w:pPr>
        <w:autoSpaceDE w:val="0"/>
        <w:autoSpaceDN w:val="0"/>
        <w:adjustRightInd w:val="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4）金属喷漆（塑）涂层：①硬度≥H。②冲击强度：冲击高度400mm，应无剥落、裂纹、皱纹。③附着力：应不低于2级。④耐腐蚀：100h内，观察在溶液中样板上划道两侧3mm以外，应无气泡产生；100h后，检查划道两侧3mm以外，应无锈迹、剥落、起皱、变色和失光等现象。</w:t>
      </w:r>
    </w:p>
    <w:p w14:paraId="7AD4F9E5">
      <w:pPr>
        <w:autoSpaceDE w:val="0"/>
        <w:autoSpaceDN w:val="0"/>
        <w:adjustRightInd w:val="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5）力学性能：①柜类强度和耐久性：搁板定位试验、搁板弯曲试验、搁板支承件强度试验、顶板的持续加载试验、底板的持续加载试验、顶板静荷载试验、结构和底架强度试验、跌落试验、拉门垂直加载试验、拉门水平加载试验、拉门猛关试验、推拉构件强度试验、推拉构件猛关或猛开试验、推拉构件结构强度试验、搁板水平加载稳定性、搁板垂直加载稳定性、非固定空载稳定性试验。②柜类稳定性：非固定柜空载稳定性试验、非固定柜加载稳定性试验。</w:t>
      </w:r>
    </w:p>
    <w:p w14:paraId="3050F5B2">
      <w:pPr>
        <w:autoSpaceDE w:val="0"/>
        <w:autoSpaceDN w:val="0"/>
        <w:adjustRightInd w:val="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▲抗菌性能：医用治疗柜抗细菌耐久性能Ⅰ级的要求，对大肠杆菌、金黄色葡萄球菌、肺炎克雷伯氏菌、铜绿假单胞菌的抗细菌率≥95.00％，抗白色念珠球菌性能Ⅰ级≥99.00。</w:t>
      </w:r>
    </w:p>
    <w:p w14:paraId="558CA68E">
      <w:pPr>
        <w:autoSpaceDE w:val="0"/>
        <w:autoSpaceDN w:val="0"/>
        <w:adjustRightInd w:val="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防霉性能：医用治疗柜耐黑曲霉、黄曲霉、球毛壳霉、腊叶芽枝霉、宛氏拟青霉、桔青霉、绿色木霉、出芽短梗霉达到0级。</w:t>
      </w:r>
    </w:p>
    <w:p w14:paraId="34D1EAB2">
      <w:pPr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▲安全性能：医用治疗柜抗菌材料溶出性抑菌环直径≤5mm、多次皮肤刺激无反应、无致敏现象。</w:t>
      </w:r>
    </w:p>
    <w:p w14:paraId="7F54FF62">
      <w:pPr>
        <w:pStyle w:val="2"/>
        <w:rPr>
          <w:rFonts w:ascii="新宋体" w:hAnsi="新宋体" w:eastAsia="新宋体"/>
          <w:b/>
          <w:sz w:val="24"/>
        </w:rPr>
      </w:pPr>
      <w:r>
        <w:rPr>
          <w:rFonts w:hint="eastAsia" w:ascii="新宋体" w:hAnsi="新宋体" w:eastAsia="新宋体"/>
          <w:b/>
          <w:sz w:val="24"/>
        </w:rPr>
        <w:t>7.质保期≥5年。</w:t>
      </w:r>
    </w:p>
    <w:p w14:paraId="63BA1CE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F73CF1"/>
    <w:rsid w:val="68D951A2"/>
    <w:rsid w:val="6CBC581E"/>
    <w:rsid w:val="7DC81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</w:style>
  <w:style w:type="paragraph" w:customStyle="1" w:styleId="5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2541</Words>
  <Characters>3039</Characters>
  <Lines>0</Lines>
  <Paragraphs>0</Paragraphs>
  <TotalTime>1</TotalTime>
  <ScaleCrop>false</ScaleCrop>
  <LinksUpToDate>false</LinksUpToDate>
  <CharactersWithSpaces>3074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2024-12-24T02:07:00Z</dcterms:created>
  <dc:creator>Administrator</dc:creator>
  <cp:lastModifiedBy>兔子</cp:lastModifiedBy>
  <dcterms:modified xsi:type="dcterms:W3CDTF">2024-12-25T01:29:28Z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12290B8BD4054BBC8DADD5DDDC86882B_12</vt:lpwstr>
  </property>
</Properties>
</file>