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258654">
      <w:pPr>
        <w:pStyle w:val="4"/>
        <w:spacing w:before="49" w:line="223" w:lineRule="auto"/>
        <w:ind w:left="131"/>
        <w:rPr>
          <w:sz w:val="22"/>
          <w:szCs w:val="22"/>
        </w:rPr>
      </w:pPr>
      <w:r>
        <w:rPr>
          <w:spacing w:val="-1"/>
          <w:sz w:val="22"/>
          <w:szCs w:val="22"/>
        </w:rPr>
        <w:t>1、规格尺寸：650*470*1120mm+20mm。</w:t>
      </w:r>
    </w:p>
    <w:p w14:paraId="7477D804">
      <w:pPr>
        <w:pStyle w:val="4"/>
        <w:spacing w:before="46" w:line="249" w:lineRule="auto"/>
        <w:ind w:left="124" w:right="106" w:hanging="7"/>
        <w:rPr>
          <w:sz w:val="22"/>
          <w:szCs w:val="22"/>
        </w:rPr>
      </w:pPr>
      <w:r>
        <w:rPr>
          <w:spacing w:val="-2"/>
          <w:sz w:val="22"/>
          <w:szCs w:val="22"/>
        </w:rPr>
        <w:t>2、材料采用优质冷轧钢板经专业技术制</w:t>
      </w:r>
      <w:r>
        <w:rPr>
          <w:spacing w:val="-1"/>
          <w:sz w:val="22"/>
          <w:szCs w:val="22"/>
        </w:rPr>
        <w:t>成，经酸洗、磷化、表面多次处理后静</w:t>
      </w:r>
      <w:r>
        <w:rPr>
          <w:spacing w:val="-2"/>
          <w:sz w:val="22"/>
          <w:szCs w:val="22"/>
        </w:rPr>
        <w:t>电喷塑，喷塑后厚度达到</w:t>
      </w:r>
      <w:r>
        <w:rPr>
          <w:spacing w:val="-3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0.7mmm。</w:t>
      </w:r>
    </w:p>
    <w:p w14:paraId="745C54EA">
      <w:pPr>
        <w:rPr>
          <w:rFonts w:ascii="仿宋" w:hAnsi="仿宋" w:eastAsia="仿宋" w:cs="仿宋"/>
          <w:snapToGrid w:val="0"/>
          <w:color w:val="000000"/>
          <w:spacing w:val="-2"/>
          <w:kern w:val="0"/>
          <w:sz w:val="22"/>
          <w:szCs w:val="22"/>
          <w:lang w:val="en-US" w:eastAsia="en-US" w:bidi="ar-SA"/>
        </w:rPr>
      </w:pPr>
      <w:r>
        <w:rPr>
          <w:rFonts w:ascii="Arial" w:hAnsi="Arial" w:eastAsia="微软雅黑" w:cs="Arial"/>
          <w:color w:val="000000"/>
          <w:sz w:val="28"/>
          <w:szCs w:val="28"/>
        </w:rPr>
        <w:t>▲</w:t>
      </w:r>
      <w:bookmarkStart w:id="0" w:name="_GoBack"/>
      <w:bookmarkEnd w:id="0"/>
      <w:r>
        <w:rPr>
          <w:rFonts w:ascii="仿宋" w:hAnsi="仿宋" w:eastAsia="仿宋" w:cs="仿宋"/>
          <w:snapToGrid w:val="0"/>
          <w:color w:val="000000"/>
          <w:spacing w:val="-2"/>
          <w:kern w:val="0"/>
          <w:sz w:val="22"/>
          <w:szCs w:val="22"/>
          <w:lang w:val="en-US" w:eastAsia="en-US" w:bidi="ar-SA"/>
        </w:rPr>
        <w:t>3、车体配1只抽屉、60格病历滑槽、带锁；推车配有四个静音轮子，对角带刹</w:t>
      </w: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2"/>
          <w:szCs w:val="22"/>
          <w:lang w:val="en-US" w:eastAsia="zh-CN" w:bidi="ar-SA"/>
        </w:rPr>
        <w:t>，</w:t>
      </w:r>
      <w:r>
        <w:rPr>
          <w:rFonts w:ascii="仿宋" w:hAnsi="仿宋" w:eastAsia="仿宋" w:cs="仿宋"/>
          <w:snapToGrid w:val="0"/>
          <w:color w:val="000000"/>
          <w:spacing w:val="-2"/>
          <w:kern w:val="0"/>
          <w:sz w:val="22"/>
          <w:szCs w:val="22"/>
          <w:lang w:val="en-US" w:eastAsia="en-US" w:bidi="ar-SA"/>
        </w:rPr>
        <w:t>方便移动。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BC3046"/>
    <w:rsid w:val="4B7F6F28"/>
    <w:rsid w:val="5DCC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122</Characters>
  <Lines>0</Lines>
  <Paragraphs>0</Paragraphs>
  <TotalTime>0</TotalTime>
  <ScaleCrop>false</ScaleCrop>
  <LinksUpToDate>false</LinksUpToDate>
  <CharactersWithSpaces>130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2024-12-24T01:43:00Z</dcterms:created>
  <dc:creator>Administrator</dc:creator>
  <cp:lastModifiedBy>兔子</cp:lastModifiedBy>
  <dcterms:modified xsi:type="dcterms:W3CDTF">2024-12-24T08:24:46Z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63C065FDC98444A4A301485E42B796D5_12</vt:lpwstr>
  </property>
</Properties>
</file>