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p w14:paraId="7C9183BF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心肺复苏模拟人</w:t>
      </w:r>
      <w:r>
        <w:rPr>
          <w:rFonts w:hint="eastAsia"/>
          <w:b/>
          <w:bCs/>
          <w:lang w:val="en-US" w:eastAsia="zh-CN"/>
        </w:rPr>
        <w:t>参数要求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简配</w:t>
      </w:r>
      <w:r>
        <w:rPr>
          <w:rFonts w:hint="eastAsia"/>
          <w:b/>
          <w:bCs/>
          <w:lang w:eastAsia="zh-CN"/>
        </w:rPr>
        <w:t>）</w:t>
      </w:r>
    </w:p>
    <w:p w14:paraId="7600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型半身心肺复苏人体模型用于医学急救技能培训，操作简单满足急救手法训练与普及心肺复苏。使用高质量材料，可按压次数不低于150万次。严格按照国际标准工艺制作且已通过CE认证，面皮肤、颈皮肤、胸皮肤、头发具有解剖标志准确、手感真实肤色统一、形态逼真、外形美观、经久耐用、消毒清洗不变形拆装更换方便等特点，其材料达到国外同等水平。</w:t>
      </w:r>
    </w:p>
    <w:p w14:paraId="5A51423F">
      <w:pPr>
        <w:rPr>
          <w:rFonts w:hint="eastAsia"/>
          <w:lang w:eastAsia="zh-CN"/>
        </w:rPr>
      </w:pPr>
      <w:r>
        <w:drawing>
          <wp:inline distT="0" distB="0" distL="114300" distR="114300">
            <wp:extent cx="1049020" cy="961390"/>
            <wp:effectExtent l="0" t="0" r="17780" b="10160"/>
            <wp:docPr id="1093" name="图片 1" descr="0f83f39d83ef95d6bcf4e4477c9c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图片 1" descr="0f83f39d83ef95d6bcf4e4477c9cb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02F14F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心肺复苏模拟人</w:t>
      </w:r>
      <w:r>
        <w:rPr>
          <w:rFonts w:hint="eastAsia"/>
          <w:b/>
          <w:bCs/>
          <w:lang w:val="en-US" w:eastAsia="zh-CN"/>
        </w:rPr>
        <w:t>参数要求（语音提示版）</w:t>
      </w:r>
    </w:p>
    <w:p w14:paraId="64701D0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执行标准：美国心脏学会（AHA)2015国际心肺复苏（CPR)&amp;心血管急救（ECC)指南标准</w:t>
      </w:r>
    </w:p>
    <w:p w14:paraId="0AB4201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功能特点：</w:t>
      </w:r>
    </w:p>
    <w:p w14:paraId="4A633CD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 模型采用高分子材质，耐高温不变形。                                                                                                           2 模型颈部左右旋转幅度可达180度，后仰幅度可达90度。                                                                                           3 模拟标准气道开放显示；</w:t>
      </w:r>
    </w:p>
    <w:p w14:paraId="35C87EB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 全程语音提示，取代传统的电子显示灯；</w:t>
      </w:r>
    </w:p>
    <w:p w14:paraId="1C128E8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 人工手位胸外按压：</w:t>
      </w:r>
    </w:p>
    <w:p w14:paraId="1A4EF3B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•按压位置错误有相应的语音提示；</w:t>
      </w:r>
    </w:p>
    <w:p w14:paraId="3DAA016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•按压强度正确(≥5cm，≤6cm)，错误(＜5cm/&gt;6cm)有错误的语音提示。</w:t>
      </w:r>
    </w:p>
    <w:p w14:paraId="1A6F92C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 模型有按压回弹提示：未回弹有语音提示；</w:t>
      </w:r>
    </w:p>
    <w:p w14:paraId="4CDEF39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 人工口对口呼吸（吹气）：</w:t>
      </w:r>
    </w:p>
    <w:p w14:paraId="2C08E5A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吹入的潮气量≤500ml-1000ml≤，操作错误有相应的语音提示；</w:t>
      </w:r>
    </w:p>
    <w:p w14:paraId="5158262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气道是否打开有语音提示；</w:t>
      </w:r>
    </w:p>
    <w:p w14:paraId="00942C9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吹入的潮气量过快或超大，造成气体进入胃部有语音提示报警；</w:t>
      </w:r>
    </w:p>
    <w:p w14:paraId="6C339FB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 操作周期：按压与人工吹气30：2（单人或者双人），完成五个循环周期CPR操作；</w:t>
      </w:r>
    </w:p>
    <w:p w14:paraId="0338A82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 操作频率：最新国际标准：100-120次/分，以“嘟嘟”的频率声为标志；</w:t>
      </w:r>
    </w:p>
    <w:p w14:paraId="7BFEAC7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 操作方式：训练操作；</w:t>
      </w:r>
    </w:p>
    <w:p w14:paraId="3BC9159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 检查瞳孔反映：模拟瞳孔由一只散大与一只缩小的比较认识；</w:t>
      </w:r>
    </w:p>
    <w:p w14:paraId="33BEF95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 检查颈动脉反映：手捏压力皮球，模拟颈动脉搏动；</w:t>
      </w:r>
    </w:p>
    <w:p w14:paraId="1E891C0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 电源状态：采用外接电源，或采用电池模式，适应野外无外接电源的情况下使用。</w:t>
      </w:r>
    </w:p>
    <w:p w14:paraId="3BC1F99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可选配模拟AED自动体外除颤仪，模拟抢救流程。</w:t>
      </w:r>
    </w:p>
    <w:p w14:paraId="239ACA96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1327785" cy="796925"/>
            <wp:effectExtent l="0" t="0" r="5715" b="3175"/>
            <wp:docPr id="1090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796925"/>
                    </a:xfrm>
                    <a:prstGeom prst="rect">
                      <a:avLst/>
                    </a:prstGeom>
                    <a:noFill/>
                    <a:ln w="1">
                      <a:noFill/>
                    </a:ln>
                  </pic:spPr>
                </pic:pic>
              </a:graphicData>
            </a:graphic>
          </wp:inline>
        </w:drawing>
      </w:r>
    </w:p>
    <w:p w14:paraId="1283A72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腰椎穿刺仿真标准化病人</w:t>
      </w:r>
      <w:r>
        <w:rPr>
          <w:rFonts w:hint="eastAsia"/>
          <w:b/>
          <w:bCs/>
          <w:lang w:val="en-US" w:eastAsia="zh-CN"/>
        </w:rPr>
        <w:t>参数要求</w:t>
      </w:r>
    </w:p>
    <w:p w14:paraId="2D5D0E6C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1.仿真模型取侧卧位，背部与床面垂直，头向前胸弯曲，双膝向腹部屈曲，躯干呈弓状。</w:t>
      </w:r>
    </w:p>
    <w:p w14:paraId="585E940A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腰部可以活动，操作者需一手挽仿真病人头部，另一手挽双下肢腘窝处抱紧，使脊柱尽量后凸增宽椎间隙，才能完成穿刺。</w:t>
      </w:r>
    </w:p>
    <w:p w14:paraId="33D23A3B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.腰部组织结构准确、体表标志明显：有完整的1～5腰椎（椎体、椎弓板、棘突）、骶骨、骶裂孔、骶角、棘上韧带、棘间韧带、黄韧带、硬脊膜与珠网膜，以及由上述组织形成的珠网膜下腔、硬膜外腔、骶管；髂后上棘、髂嵴、胸椎棘突、腰椎棘突可真实触知。</w:t>
      </w:r>
    </w:p>
    <w:p w14:paraId="53421866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3.可行以下各种操作：腰麻、腰椎穿刺、硬膜外阻滞、尾神经阻滞、骶神经阻滞、腰交感神经阻滞。</w:t>
      </w:r>
    </w:p>
    <w:p w14:paraId="54D7EC3A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4.腰椎穿刺模拟真实：当穿刺针抵达模拟黄韧带，阻力增大有韧性感。</w:t>
      </w:r>
    </w:p>
    <w:p w14:paraId="58DFFB35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5.突破黄韧带有明显的落空感，即进入硬脊膜外腔，有负压呈现(这时推注麻醉药液即为硬脊膜外麻醉)。</w:t>
      </w:r>
    </w:p>
    <w:p w14:paraId="5AA73172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6.继续进针将刺破硬脊膜和珠网膜，出现第二次落空感，即进入珠网膜下腔，将有模拟脑脊液流出，全程模拟临床腰椎穿刺真实情节。 </w:t>
      </w:r>
    </w:p>
    <w:p w14:paraId="7BA45902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7.配套腰椎穿刺术技能培训项目基本操作标准流程教学系统，学生可通过移动终端扫描模型表面交互感应位置下载App软件，进行实时学习，教学内容为三维动画视频形式展示，至少包括有解剖结构介绍和腰椎穿刺层次，可采用腰椎穿刺术进行诊断或治疗的疾病或情况，不适宜采用或禁止采用腰椎穿刺术进行诊断或治疗的 疾病或情况，腰椎穿刺术前，展示用物，腰椎穿刺点定位，常用的穿刺点，腰椎穿刺过程，穿刺后操作、穿刺后注意事项。</w:t>
      </w:r>
    </w:p>
    <w:p w14:paraId="4B6FE458">
      <w:pPr>
        <w:numPr>
          <w:ilvl w:val="0"/>
          <w:numId w:val="1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模型皮肤对人体安全无刺激的硅胶材料制成，所有与皮肤接触的模块和材料对皮肤安全无刺激，仿真皮肤贴片与皮肤接触后1h-72h内无刺激作用，无红斑、水肿反应。                                                                                  ▲9.该模型配备评分系统，评分APP支持对技能操作评分，可随时开始考评；支持扫描身份证、二维码、手动确认操作身份，扫描后系统自动填充当前操作者的姓名、身份证等信息；支持以选择分数形式为操作人员打分；支持字体的大小切换； 结束评分时支持人员签名；支持将现有的所有成绩导出到本地，每个操作人员单独以一个文件存储； 成绩可发送至邮箱和分享到微信，微信端和邮箱中可查看成绩分数、成绩所在本场考试区间统计图、成绩得分明细和签名； 支持将考试成绩分享到邮箱和微信，可查看全部成绩统计明细，以列表、柱状图、折线图、饼图等展示。支持以PDF和Excel方式下载成绩明细。</w:t>
      </w:r>
    </w:p>
    <w:p w14:paraId="2A76D070">
      <w:pPr>
        <w:numPr>
          <w:numId w:val="0"/>
        </w:num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10.技能虚拟仿真教学模块</w:t>
      </w:r>
    </w:p>
    <w:p w14:paraId="411130E4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10.1支持查看每个项目的达标分数、学员成绩、学习次数、学习时长以及达标情况；支持查看学员任务每个项目的得分，并以扇形图展示；支持查看学员任务每个项目日期、开始时间、结束时间、时长、得分；支持查看项目每次操作评分点得分、与平均值比较，并以雷达图展示。</w:t>
      </w:r>
    </w:p>
    <w:p w14:paraId="2930465C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10.2系统内的场景、人物、设备要求以 3D 形式展现，不接受 FLASH 和动画形式。</w:t>
      </w:r>
    </w:p>
    <w:p w14:paraId="19B15D8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▲10.3要求以3D方式构建仿真实训环境，在仿真环境内以第三人称通过人机交互进行技能训练操作。</w:t>
      </w:r>
    </w:p>
    <w:p w14:paraId="260A74F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▲10.4操作者可随时对操作步骤进行定位，并进行跳跃式反复训练，支持跳步操作。</w:t>
      </w:r>
    </w:p>
    <w:p w14:paraId="60FD61D9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10.5要求虚拟实训中要支持容错机制，例如缺少关键仪器、物品，前置步骤未进行等情况要有友好提示。</w:t>
      </w:r>
    </w:p>
    <w:p w14:paraId="33D77E8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10.6腰椎穿刺术虚拟仿真教学软件操作流程符合《医师资格考试大纲》-《实践技能考试大纲》要求，包含不少于40个分步技能步骤。</w:t>
      </w:r>
    </w:p>
    <w:p w14:paraId="7610881D">
      <w:pPr>
        <w:jc w:val="left"/>
      </w:pPr>
      <w:r>
        <w:drawing>
          <wp:inline distT="0" distB="0" distL="114300" distR="114300">
            <wp:extent cx="1294765" cy="791210"/>
            <wp:effectExtent l="0" t="0" r="635" b="8890"/>
            <wp:docPr id="1092" name="图片 11" descr="0V1A5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图片 11" descr="0V1A577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叁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94231"/>
    <w:multiLevelType w:val="singleLevel"/>
    <w:tmpl w:val="62F94231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2D7E7728"/>
    <w:rsid w:val="462D6180"/>
    <w:rsid w:val="5BDA5157"/>
    <w:rsid w:val="70F609AA"/>
    <w:rsid w:val="73C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2297</Words>
  <Characters>2421</Characters>
  <Lines>0</Lines>
  <Paragraphs>0</Paragraphs>
  <TotalTime>10</TotalTime>
  <ScaleCrop>false</ScaleCrop>
  <LinksUpToDate>false</LinksUpToDate>
  <CharactersWithSpaces>2736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2025-05-14T02:38:13Z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