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设备整体维保托管运营相关问题</w:t>
      </w:r>
    </w:p>
    <w:p>
      <w:pPr>
        <w:pStyle w:val="5"/>
        <w:shd w:val="clear" w:color="auto" w:fill="FFFFFF"/>
        <w:spacing w:before="184" w:beforeAutospacing="0" w:after="184" w:afterAutospacing="0" w:line="240" w:lineRule="exact"/>
      </w:pPr>
      <w:r>
        <w:rPr>
          <w:rStyle w:val="4"/>
          <w:rFonts w:ascii="仿宋" w:hAnsi="仿宋" w:eastAsia="仿宋" w:cs="Segoe UI"/>
          <w:color w:val="0F1115"/>
        </w:rPr>
        <w:t>1.人员配置与资质要求</w:t>
      </w:r>
      <w:r>
        <w:rPr>
          <w:rFonts w:hint="eastAsia" w:ascii="仿宋" w:hAnsi="仿宋" w:eastAsia="仿宋" w:cs="Segoe UI"/>
          <w:color w:val="0F1115"/>
        </w:rPr>
        <w:t>：</w:t>
      </w:r>
      <w:r>
        <w:rPr>
          <w:rFonts w:ascii="仿宋" w:hAnsi="仿宋" w:eastAsia="仿宋" w:cs="Segoe UI"/>
          <w:color w:val="0F1115"/>
        </w:rPr>
        <w:t>请明确为履行本合同拟派驻现场的专职维保团队人员总数、组织架构及具体岗位（如项目经理、临床工程师、技师、巡检员等）设置请详细列出各岗位人员的资质要求，包括但不限于：学历背景、专业技术资格证书（如医疗器械工程师、电工证等）、相关品牌设备厂家培训认证、同类型医院设备维保工作经验年限、以及应对突发故障的应急处理能力证明。</w:t>
      </w:r>
      <w:r>
        <w:rPr>
          <w:rFonts w:hint="eastAsia" w:ascii="仿宋" w:hAnsi="仿宋" w:eastAsia="仿宋" w:cs="Segoe UI"/>
          <w:color w:val="0F1115"/>
        </w:rPr>
        <w:t xml:space="preserve">                                    </w:t>
      </w:r>
      <w:r>
        <w:rPr>
          <w:rStyle w:val="4"/>
          <w:rFonts w:ascii="仿宋" w:hAnsi="仿宋" w:eastAsia="仿宋" w:cs="Segoe UI"/>
          <w:color w:val="0F1115"/>
        </w:rPr>
        <w:t>2.备用机/替代设备支持方案</w:t>
      </w:r>
      <w:r>
        <w:rPr>
          <w:rFonts w:hint="eastAsia" w:ascii="仿宋" w:hAnsi="仿宋" w:eastAsia="仿宋" w:cs="Segoe UI"/>
          <w:color w:val="0F1115"/>
        </w:rPr>
        <w:t>：</w:t>
      </w:r>
      <w:r>
        <w:rPr>
          <w:rFonts w:ascii="仿宋" w:hAnsi="仿宋" w:eastAsia="仿宋" w:cs="Segoe UI"/>
          <w:color w:val="0F1115"/>
        </w:rPr>
        <w:t>请详细说明针对关键科室或生命支持类设备，贵方提供的备用机/替代设备方案。内容包括：备用设备清单、响应提供时限、使用费用、运输调配方式及权责划分。</w:t>
      </w:r>
      <w:r>
        <w:rPr>
          <w:rFonts w:hint="eastAsia" w:ascii="仿宋" w:hAnsi="仿宋" w:eastAsia="仿宋" w:cs="Segoe UI"/>
          <w:color w:val="0F1115"/>
        </w:rPr>
        <w:t xml:space="preserve">                                       </w:t>
      </w:r>
      <w:r>
        <w:rPr>
          <w:rStyle w:val="4"/>
          <w:rFonts w:ascii="仿宋" w:hAnsi="仿宋" w:eastAsia="仿宋" w:cs="Segoe UI"/>
          <w:color w:val="0F1115"/>
        </w:rPr>
        <w:t>3. 系统对接接口费用责任</w:t>
      </w:r>
      <w:r>
        <w:rPr>
          <w:rFonts w:hint="eastAsia" w:ascii="仿宋" w:hAnsi="仿宋" w:eastAsia="仿宋" w:cs="Segoe UI"/>
          <w:color w:val="0F1115"/>
        </w:rPr>
        <w:t>：</w:t>
      </w:r>
      <w:r>
        <w:rPr>
          <w:rFonts w:ascii="仿宋" w:hAnsi="仿宋" w:eastAsia="仿宋" w:cs="Segoe UI"/>
          <w:color w:val="0F1115"/>
        </w:rPr>
        <w:t>若维保服务需要与医院现有的医院信息系统（HIS）、实验室信息系统（LIS）、影像归档和通信系统（PACS）或医疗设备管理系统等进行数据对接，请明确相关接口开发、调试及后期维护所产生的费用由哪一方承担。</w:t>
      </w:r>
      <w:r>
        <w:rPr>
          <w:rFonts w:hint="eastAsia" w:ascii="仿宋" w:hAnsi="仿宋" w:eastAsia="仿宋" w:cs="Segoe UI"/>
          <w:color w:val="0F1115"/>
        </w:rPr>
        <w:t xml:space="preserve">                                                                    </w:t>
      </w:r>
      <w:r>
        <w:rPr>
          <w:rStyle w:val="4"/>
          <w:rFonts w:ascii="仿宋" w:hAnsi="仿宋" w:eastAsia="仿宋" w:cs="Segoe UI"/>
          <w:color w:val="0F1115"/>
        </w:rPr>
        <w:t>4. 服务质量考核标准与机制建议</w:t>
      </w:r>
      <w:r>
        <w:rPr>
          <w:rFonts w:hint="eastAsia" w:ascii="仿宋" w:hAnsi="仿宋" w:eastAsia="仿宋" w:cs="Segoe UI"/>
          <w:color w:val="0F1115"/>
        </w:rPr>
        <w:t>：</w:t>
      </w:r>
      <w:r>
        <w:rPr>
          <w:rFonts w:ascii="仿宋" w:hAnsi="仿宋" w:eastAsia="仿宋" w:cs="Segoe UI"/>
          <w:color w:val="0F1115"/>
        </w:rPr>
        <w:t>请提供针对本托管运营服务的具体、可量化的关键绩效指标建议及考核办法。例如：设备完好率、巡检计划完成率、预防性维护完成率及合格率、故障响应时间、故障修复时间、临床满意度调查方案等，并说明相应的奖惩机制。</w:t>
      </w:r>
      <w:r>
        <w:rPr>
          <w:rFonts w:hint="eastAsia" w:ascii="仿宋" w:hAnsi="仿宋" w:eastAsia="仿宋" w:cs="Segoe UI"/>
          <w:color w:val="0F1115"/>
        </w:rPr>
        <w:t xml:space="preserve">                                                    </w:t>
      </w:r>
      <w:r>
        <w:rPr>
          <w:rStyle w:val="4"/>
          <w:rFonts w:ascii="仿宋" w:hAnsi="仿宋" w:eastAsia="仿宋" w:cs="Segoe UI"/>
          <w:color w:val="0F1115"/>
        </w:rPr>
        <w:t>5. 管理软件资质与所有权</w:t>
      </w:r>
      <w:r>
        <w:rPr>
          <w:rStyle w:val="4"/>
          <w:rFonts w:hint="eastAsia" w:ascii="仿宋" w:hAnsi="仿宋" w:eastAsia="仿宋" w:cs="Segoe UI"/>
          <w:color w:val="0F1115"/>
        </w:rPr>
        <w:t>：</w:t>
      </w:r>
      <w:r>
        <w:rPr>
          <w:rFonts w:ascii="仿宋" w:hAnsi="仿宋" w:eastAsia="仿宋" w:cs="Segoe UI"/>
          <w:color w:val="0F1115"/>
        </w:rPr>
        <w:t>请明确贵方拟用于本项目管理与服务的软件是否已取得合法的《软件著作权证书》？该软件是否为拟投标公司自主开发的专有产品？如是第三方产品，请说明合作模式及授权情况，并确保其使用不会引发知识产权纠纷。</w:t>
      </w:r>
      <w:r>
        <w:rPr>
          <w:rFonts w:hint="eastAsia" w:ascii="仿宋" w:hAnsi="仿宋" w:eastAsia="仿宋" w:cs="Segoe UI"/>
          <w:color w:val="0F1115"/>
        </w:rPr>
        <w:t xml:space="preserve">                                                                 </w:t>
      </w:r>
      <w:r>
        <w:rPr>
          <w:rStyle w:val="4"/>
          <w:rFonts w:ascii="仿宋" w:hAnsi="仿宋" w:eastAsia="仿宋" w:cs="Segoe UI"/>
          <w:color w:val="0F1115"/>
        </w:rPr>
        <w:t>6. 低值设备（如千元以下）维保策略</w:t>
      </w:r>
      <w:r>
        <w:rPr>
          <w:rFonts w:hint="eastAsia" w:ascii="仿宋" w:hAnsi="仿宋" w:eastAsia="仿宋" w:cs="Segoe UI"/>
          <w:color w:val="0F1115"/>
        </w:rPr>
        <w:t>：</w:t>
      </w:r>
      <w:r>
        <w:rPr>
          <w:rFonts w:ascii="仿宋" w:hAnsi="仿宋" w:eastAsia="仿宋" w:cs="Segoe UI"/>
          <w:color w:val="0F1115"/>
        </w:rPr>
        <w:t>针对单价较低（如千元以下）的医疗设备，请阐述具体的维保管理方案。是采取“以换代修”模式，还是提供定期批量检测服务？请说明费用计算方式、更换标准及流程。</w:t>
      </w:r>
      <w:r>
        <w:rPr>
          <w:rFonts w:hint="eastAsia" w:ascii="仿宋" w:hAnsi="仿宋" w:eastAsia="仿宋" w:cs="Segoe UI"/>
          <w:color w:val="0F1115"/>
        </w:rPr>
        <w:t xml:space="preserve">                                        </w:t>
      </w:r>
      <w:r>
        <w:rPr>
          <w:rStyle w:val="4"/>
          <w:rFonts w:ascii="仿宋" w:hAnsi="仿宋" w:eastAsia="仿宋" w:cs="Segoe UI"/>
          <w:color w:val="0F1115"/>
        </w:rPr>
        <w:t>7. 设备使用监测与智能预警能力</w:t>
      </w:r>
      <w:r>
        <w:rPr>
          <w:rFonts w:hint="eastAsia" w:ascii="仿宋" w:hAnsi="仿宋" w:eastAsia="仿宋" w:cs="Segoe UI"/>
          <w:color w:val="0F1115"/>
        </w:rPr>
        <w:t>：</w:t>
      </w:r>
      <w:r>
        <w:rPr>
          <w:rFonts w:ascii="仿宋" w:hAnsi="仿宋" w:eastAsia="仿宋" w:cs="Segoe UI"/>
          <w:color w:val="0F1115"/>
        </w:rPr>
        <w:t>请详细说明通过何种技术手段（如物联网传感器、软件系统对接、人工填报分析等）对托管设备的运行状态、使用频率、开机时长等进行监测。系统是否具备自动预警提示功能？请举例说明预警类型，例如：设备超负荷使用、定期保养到期、操作流程不规范（如疑似违规操作记录）、关键参数异常等，并描述预警通知的发送方式和接收人员。</w:t>
      </w:r>
      <w:r>
        <w:rPr>
          <w:rFonts w:hint="eastAsia" w:ascii="仿宋" w:hAnsi="仿宋" w:eastAsia="仿宋" w:cs="Segoe UI"/>
          <w:color w:val="0F1115"/>
        </w:rPr>
        <w:t xml:space="preserve">                              </w:t>
      </w:r>
      <w:r>
        <w:rPr>
          <w:rStyle w:val="4"/>
          <w:rFonts w:ascii="仿宋" w:hAnsi="仿宋" w:eastAsia="仿宋" w:cs="Segoe UI"/>
          <w:color w:val="0F1115"/>
        </w:rPr>
        <w:t>8. 软件部署与服务</w:t>
      </w:r>
      <w:bookmarkStart w:id="0" w:name="_GoBack"/>
      <w:bookmarkEnd w:id="0"/>
      <w:r>
        <w:rPr>
          <w:rStyle w:val="4"/>
          <w:rFonts w:ascii="仿宋" w:hAnsi="仿宋" w:eastAsia="仿宋" w:cs="Segoe UI"/>
          <w:color w:val="0F1115"/>
        </w:rPr>
        <w:t>器配置</w:t>
      </w:r>
      <w:r>
        <w:rPr>
          <w:rFonts w:hint="eastAsia" w:ascii="仿宋" w:hAnsi="仿宋" w:eastAsia="仿宋" w:cs="Segoe UI"/>
          <w:color w:val="0F1115"/>
        </w:rPr>
        <w:t>：</w:t>
      </w:r>
      <w:r>
        <w:rPr>
          <w:rFonts w:ascii="仿宋" w:hAnsi="仿宋" w:eastAsia="仿宋" w:cs="Segoe UI"/>
          <w:color w:val="0F1115"/>
        </w:rPr>
        <w:t>贵方提供的管理软件是采用本地化部署（需医院提供服务器），还是基于云服务？如为本地部署，请列出对服务器硬件、网络及安全环境的基本要求；如为云服务，请说明数据存储的地理位置、数据安全及隐私保护措施。</w:t>
      </w:r>
      <w:r>
        <w:rPr>
          <w:rFonts w:hint="eastAsia" w:ascii="仿宋" w:hAnsi="仿宋" w:eastAsia="仿宋" w:cs="Segoe UI"/>
          <w:color w:val="0F1115"/>
        </w:rPr>
        <w:t xml:space="preserve">                                                                   </w:t>
      </w:r>
      <w:r>
        <w:rPr>
          <w:rStyle w:val="4"/>
          <w:rFonts w:ascii="仿宋" w:hAnsi="仿宋" w:eastAsia="仿宋" w:cs="Segoe UI"/>
          <w:color w:val="0F1115"/>
        </w:rPr>
        <w:t>9. 临床工程师与医护人员培训计划</w:t>
      </w:r>
      <w:r>
        <w:rPr>
          <w:rFonts w:hint="eastAsia" w:ascii="仿宋" w:hAnsi="仿宋" w:eastAsia="仿宋" w:cs="Segoe UI"/>
          <w:color w:val="0F1115"/>
        </w:rPr>
        <w:t>：</w:t>
      </w:r>
      <w:r>
        <w:rPr>
          <w:rFonts w:ascii="仿宋" w:hAnsi="仿宋" w:eastAsia="仿宋" w:cs="Segoe UI"/>
          <w:color w:val="0F1115"/>
        </w:rPr>
        <w:t>请提供针对本院医工人员（临床工程师）的定制化培训计划，旨在提升其协同管理及初级故障处理能力。同时，请提供针对医护人员的设备操作规范与日常保养培训方案。包括培训内容、频率、方式（线上/线下）、考核及效果评估方法。</w:t>
      </w:r>
      <w:r>
        <w:rPr>
          <w:rFonts w:hint="eastAsia" w:ascii="仿宋" w:hAnsi="仿宋" w:eastAsia="仿宋" w:cs="Segoe UI"/>
          <w:color w:val="0F1115"/>
        </w:rPr>
        <w:t xml:space="preserve">                                         </w:t>
      </w:r>
      <w:r>
        <w:rPr>
          <w:rStyle w:val="4"/>
          <w:rFonts w:ascii="仿宋" w:hAnsi="仿宋" w:eastAsia="仿宋" w:cs="Segoe UI"/>
          <w:color w:val="0F1115"/>
        </w:rPr>
        <w:t>10. 生命支持类与高风险设备专项管理方案</w:t>
      </w:r>
      <w:r>
        <w:rPr>
          <w:rFonts w:hint="eastAsia" w:ascii="仿宋" w:hAnsi="仿宋" w:eastAsia="仿宋" w:cs="Segoe UI"/>
          <w:color w:val="0F1115"/>
        </w:rPr>
        <w:t>：</w:t>
      </w:r>
      <w:r>
        <w:rPr>
          <w:rFonts w:ascii="仿宋" w:hAnsi="仿宋" w:eastAsia="仿宋" w:cs="Segoe UI"/>
          <w:color w:val="0F1115"/>
        </w:rPr>
        <w:t>请制定针对生命支持类（如呼吸机、麻醉机、除颤仪等）及其他高风险设备的专项维保管理计划。需特别强调：预防性维护的强化周期与内容、备用机的优先保障策略、紧急故障的极速响应机制（如7x24小时驻场或极速到达）、以及此类设备的性能检测与质量控制（QC）方案。</w:t>
      </w:r>
      <w:r>
        <w:rPr>
          <w:rStyle w:val="4"/>
          <w:rFonts w:ascii="仿宋" w:hAnsi="仿宋" w:eastAsia="仿宋" w:cs="Segoe UI"/>
          <w:color w:val="0F1115"/>
        </w:rPr>
        <w:t>11. 软件对设备全生命周期管理的支持</w:t>
      </w:r>
      <w:r>
        <w:rPr>
          <w:rFonts w:hint="eastAsia" w:ascii="仿宋" w:hAnsi="仿宋" w:eastAsia="仿宋" w:cs="Segoe UI"/>
          <w:color w:val="0F1115"/>
        </w:rPr>
        <w:t>：</w:t>
      </w:r>
      <w:r>
        <w:rPr>
          <w:rFonts w:ascii="仿宋" w:hAnsi="仿宋" w:eastAsia="仿宋" w:cs="Segoe UI"/>
          <w:color w:val="0F1115"/>
        </w:rPr>
        <w:t>请详细阐述贵方管理软件如何满足医疗设备从“出生”到“退役”的全生命周期管理需求。请逐项说明软件是否支持并如何实现以下流程的信息化、闭环管理：</w:t>
      </w:r>
      <w:r>
        <w:rPr>
          <w:rStyle w:val="4"/>
          <w:rFonts w:hint="eastAsia" w:ascii="仿宋" w:hAnsi="仿宋" w:eastAsia="仿宋" w:cs="Segoe UI"/>
          <w:b w:val="0"/>
          <w:bCs w:val="0"/>
          <w:color w:val="0F1115"/>
        </w:rPr>
        <w:t xml:space="preserve">                                   </w:t>
      </w:r>
      <w:r>
        <w:rPr>
          <w:rStyle w:val="4"/>
          <w:rFonts w:ascii="仿宋" w:hAnsi="仿宋" w:eastAsia="仿宋" w:cs="Segoe UI"/>
          <w:bCs w:val="0"/>
          <w:color w:val="0F1115"/>
        </w:rPr>
        <w:t>前期管理：</w:t>
      </w:r>
      <w:r>
        <w:rPr>
          <w:rFonts w:ascii="仿宋" w:hAnsi="仿宋" w:eastAsia="仿宋" w:cs="Segoe UI"/>
          <w:bCs/>
          <w:color w:val="0F1115"/>
        </w:rPr>
        <w:t>设备采购申请、论证、招标、采购合同归档。</w:t>
      </w:r>
      <w:r>
        <w:rPr>
          <w:rFonts w:hint="eastAsia" w:ascii="仿宋" w:hAnsi="仿宋" w:eastAsia="仿宋" w:cs="Segoe UI"/>
          <w:bCs/>
          <w:color w:val="0F1115"/>
        </w:rPr>
        <w:t xml:space="preserve">                        </w:t>
      </w:r>
      <w:r>
        <w:rPr>
          <w:rStyle w:val="4"/>
          <w:rFonts w:ascii="仿宋" w:hAnsi="仿宋" w:eastAsia="仿宋" w:cs="Segoe UI"/>
          <w:color w:val="0F1115"/>
        </w:rPr>
        <w:t>中期管理：</w:t>
      </w:r>
      <w:r>
        <w:rPr>
          <w:rFonts w:ascii="仿宋" w:hAnsi="仿宋" w:eastAsia="仿宋" w:cs="Segoe UI"/>
          <w:bCs/>
          <w:color w:val="0F1115"/>
        </w:rPr>
        <w:t>设备档案建立（包含证件管理）、验收、安装、启用、定期检测、计量管理、维修保养、调配转移、效益分析。</w:t>
      </w:r>
      <w:r>
        <w:rPr>
          <w:rFonts w:hint="eastAsia" w:ascii="仿宋" w:hAnsi="仿宋" w:eastAsia="仿宋" w:cs="Segoe UI"/>
          <w:bCs/>
          <w:color w:val="0F1115"/>
        </w:rPr>
        <w:t xml:space="preserve">                                  </w:t>
      </w:r>
      <w:r>
        <w:rPr>
          <w:rStyle w:val="4"/>
          <w:rFonts w:ascii="仿宋" w:hAnsi="仿宋" w:eastAsia="仿宋" w:cs="Segoe UI"/>
          <w:bCs w:val="0"/>
          <w:color w:val="0F1115"/>
        </w:rPr>
        <w:t>后期管理：</w:t>
      </w:r>
      <w:r>
        <w:rPr>
          <w:rFonts w:eastAsia="仿宋" w:cs="Segoe UI"/>
          <w:bCs/>
          <w:color w:val="0F1115"/>
        </w:rPr>
        <w:t>报废技术评估、报废申请、审批流程、资产销账处置。</w:t>
      </w:r>
      <w:r>
        <w:rPr>
          <w:rFonts w:hint="eastAsia" w:eastAsia="仿宋" w:cs="Segoe UI"/>
          <w:b/>
          <w:bCs/>
          <w:color w:val="0F1115"/>
        </w:rPr>
        <w:t xml:space="preserve">                </w:t>
      </w:r>
      <w:r>
        <w:rPr>
          <w:rFonts w:hint="eastAsia" w:ascii="仿宋" w:hAnsi="仿宋" w:eastAsia="仿宋" w:cs="Segoe UI"/>
          <w:b/>
          <w:bCs/>
          <w:color w:val="0F1115"/>
        </w:rPr>
        <w:t>12.调度中心搭建:</w:t>
      </w:r>
      <w:r>
        <w:rPr>
          <w:rFonts w:hint="eastAsia" w:ascii="仿宋" w:hAnsi="仿宋" w:eastAsia="仿宋" w:cs="Segoe UI"/>
          <w:bCs/>
          <w:color w:val="0F1115"/>
        </w:rPr>
        <w:t>详细描述调度中心建设方案。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07E217A"/>
    <w:rsid w:val="3206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customStyle="1" w:styleId="5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2026-02-11T09:22:34Z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FD0CAE3D98814682BD30B883672A0795</vt:lpwstr>
  </property>
</Properties>
</file>